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944" w:type="dxa"/>
        <w:jc w:val="center"/>
        <w:tblBorders>
          <w:top w:val="none" w:sz="0" w:space="0" w:color="auto"/>
          <w:left w:val="none" w:sz="0" w:space="0" w:color="auto"/>
          <w:bottom w:val="none" w:sz="0" w:space="0" w:color="auto"/>
          <w:right w:val="none" w:sz="0" w:space="0" w:color="auto"/>
          <w:insideH w:val="none" w:sz="0" w:space="0" w:color="auto"/>
        </w:tblBorders>
        <w:tblCellMar>
          <w:left w:w="403" w:type="dxa"/>
          <w:right w:w="504" w:type="dxa"/>
        </w:tblCellMar>
        <w:tblLook w:val="04A0" w:firstRow="1" w:lastRow="0" w:firstColumn="1" w:lastColumn="0" w:noHBand="0" w:noVBand="1"/>
      </w:tblPr>
      <w:tblGrid>
        <w:gridCol w:w="11520"/>
      </w:tblGrid>
      <w:tr w:rsidR="00B80865" w14:paraId="00559A1D" w14:textId="77777777" w:rsidTr="00A23898">
        <w:trPr>
          <w:trHeight w:hRule="exact" w:val="2016"/>
          <w:jc w:val="center"/>
        </w:trPr>
        <w:tc>
          <w:tcPr>
            <w:tcW w:w="10944" w:type="dxa"/>
            <w:tcMar>
              <w:left w:w="0" w:type="dxa"/>
              <w:right w:w="0" w:type="dxa"/>
            </w:tcMar>
          </w:tcPr>
          <w:p w14:paraId="045D0A02" w14:textId="622947B4" w:rsidR="00B80865" w:rsidRDefault="00F82933" w:rsidP="00E071AB">
            <w:r>
              <w:rPr>
                <w:noProof/>
              </w:rPr>
              <mc:AlternateContent>
                <mc:Choice Requires="wps">
                  <w:drawing>
                    <wp:anchor distT="0" distB="0" distL="114300" distR="114300" simplePos="0" relativeHeight="251659264" behindDoc="0" locked="0" layoutInCell="1" allowOverlap="1" wp14:anchorId="44637F1C" wp14:editId="3827C913">
                      <wp:simplePos x="0" y="0"/>
                      <wp:positionH relativeFrom="column">
                        <wp:posOffset>1045845</wp:posOffset>
                      </wp:positionH>
                      <wp:positionV relativeFrom="paragraph">
                        <wp:posOffset>119380</wp:posOffset>
                      </wp:positionV>
                      <wp:extent cx="4107180" cy="861060"/>
                      <wp:effectExtent l="0" t="0" r="0" b="0"/>
                      <wp:wrapNone/>
                      <wp:docPr id="1775882280" name="Text Box 1"/>
                      <wp:cNvGraphicFramePr/>
                      <a:graphic xmlns:a="http://schemas.openxmlformats.org/drawingml/2006/main">
                        <a:graphicData uri="http://schemas.microsoft.com/office/word/2010/wordprocessingShape">
                          <wps:wsp>
                            <wps:cNvSpPr txBox="1"/>
                            <wps:spPr>
                              <a:xfrm>
                                <a:off x="0" y="0"/>
                                <a:ext cx="4107180" cy="861060"/>
                              </a:xfrm>
                              <a:prstGeom prst="rect">
                                <a:avLst/>
                              </a:prstGeom>
                              <a:noFill/>
                              <a:ln w="6350">
                                <a:noFill/>
                              </a:ln>
                            </wps:spPr>
                            <wps:txbx>
                              <w:txbxContent>
                                <w:p w14:paraId="25E27212" w14:textId="4D011F43" w:rsidR="00F82933" w:rsidRPr="00937A40" w:rsidRDefault="00F82933" w:rsidP="00937A40">
                                  <w:pPr>
                                    <w:spacing w:before="360" w:after="0" w:line="360" w:lineRule="exact"/>
                                    <w:rPr>
                                      <w:rStyle w:val="SubtitleChar"/>
                                      <w:rFonts w:ascii="OfficinaSerITCStd Book" w:hAnsi="OfficinaSerITCStd Book"/>
                                      <w:sz w:val="72"/>
                                      <w:szCs w:val="72"/>
                                    </w:rPr>
                                  </w:pPr>
                                  <w:r w:rsidRPr="00F82933">
                                    <w:rPr>
                                      <w:rStyle w:val="TitleChar"/>
                                      <w:spacing w:val="20"/>
                                    </w:rPr>
                                    <w:t>ENROUTE</w:t>
                                  </w:r>
                                  <w:r w:rsidRPr="00E73AC5">
                                    <w:rPr>
                                      <w:rStyle w:val="TitleChar"/>
                                      <w:b w:val="0"/>
                                      <w:bCs w:val="0"/>
                                      <w:vertAlign w:val="superscript"/>
                                    </w:rPr>
                                    <w:t>®</w:t>
                                  </w:r>
                                  <w:r w:rsidR="00937A40">
                                    <w:rPr>
                                      <w:rStyle w:val="TitleChar"/>
                                      <w:b w:val="0"/>
                                      <w:bCs w:val="0"/>
                                    </w:rPr>
                                    <w:br/>
                                  </w:r>
                                  <w:proofErr w:type="spellStart"/>
                                  <w:r w:rsidR="00937A40" w:rsidRPr="00937A40">
                                    <w:rPr>
                                      <w:rStyle w:val="SubtitleChar"/>
                                      <w:rFonts w:ascii="OfficinaSerITCStd Medium" w:hAnsi="OfficinaSerITCStd Medium"/>
                                    </w:rPr>
                                    <w:t>Transcarotid</w:t>
                                  </w:r>
                                  <w:proofErr w:type="spellEnd"/>
                                  <w:r w:rsidR="00937A40" w:rsidRPr="00937A40">
                                    <w:rPr>
                                      <w:rStyle w:val="SubtitleChar"/>
                                      <w:rFonts w:ascii="OfficinaSerITCStd Medium" w:hAnsi="OfficinaSerITCStd Medium"/>
                                    </w:rPr>
                                    <w:t xml:space="preserve"> Artery Revascularization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637F1C" id="_x0000_t202" coordsize="21600,21600" o:spt="202" path="m,l,21600r21600,l21600,xe">
                      <v:stroke joinstyle="miter"/>
                      <v:path gradientshapeok="t" o:connecttype="rect"/>
                    </v:shapetype>
                    <v:shape id="Text Box 1" o:spid="_x0000_s1026" type="#_x0000_t202" style="position:absolute;margin-left:82.35pt;margin-top:9.4pt;width:323.4pt;height:6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" filled="f" stroked="f" strokeweight=".5pt">
                      <v:textbox>
                        <w:txbxContent>
                          <w:p w14:paraId="25E27212" w14:textId="4D011F43" w:rsidR="00F82933" w:rsidRPr="00937A40" w:rsidRDefault="00F82933" w:rsidP="00937A40">
                            <w:pPr>
                              <w:spacing w:before="360" w:after="0" w:line="360" w:lineRule="exact"/>
                              <w:rPr>
                                <w:rStyle w:val="SubtitleChar"/>
                                <w:rFonts w:ascii="OfficinaSerITCStd Book" w:hAnsi="OfficinaSerITCStd Book"/>
                                <w:sz w:val="72"/>
                                <w:szCs w:val="72"/>
                              </w:rPr>
                            </w:pPr>
                            <w:r w:rsidRPr="00F82933">
                              <w:rPr>
                                <w:rStyle w:val="TitleChar"/>
                                <w:spacing w:val="20"/>
                              </w:rPr>
                              <w:t>ENROUTE</w:t>
                            </w:r>
                            <w:r w:rsidRPr="00E73AC5">
                              <w:rPr>
                                <w:rStyle w:val="TitleChar"/>
                                <w:b w:val="0"/>
                                <w:bCs w:val="0"/>
                                <w:vertAlign w:val="superscript"/>
                              </w:rPr>
                              <w:t>®</w:t>
                            </w:r>
                            <w:r w:rsidR="00937A40">
                              <w:rPr>
                                <w:rStyle w:val="TitleChar"/>
                                <w:b w:val="0"/>
                                <w:bCs w:val="0"/>
                              </w:rPr>
                              <w:br/>
                            </w:r>
                            <w:proofErr w:type="spellStart"/>
                            <w:r w:rsidR="00937A40" w:rsidRPr="00937A40">
                              <w:rPr>
                                <w:rStyle w:val="SubtitleChar"/>
                                <w:rFonts w:ascii="OfficinaSerITCStd Medium" w:hAnsi="OfficinaSerITCStd Medium"/>
                              </w:rPr>
                              <w:t>Transcarotid</w:t>
                            </w:r>
                            <w:proofErr w:type="spellEnd"/>
                            <w:r w:rsidR="00937A40" w:rsidRPr="00937A40">
                              <w:rPr>
                                <w:rStyle w:val="SubtitleChar"/>
                                <w:rFonts w:ascii="OfficinaSerITCStd Medium" w:hAnsi="OfficinaSerITCStd Medium"/>
                              </w:rPr>
                              <w:t xml:space="preserve"> Artery Revascularization</w:t>
                            </w:r>
                          </w:p>
                        </w:txbxContent>
                      </v:textbox>
                    </v:shape>
                  </w:pict>
                </mc:Fallback>
              </mc:AlternateContent>
            </w:r>
            <w:r w:rsidR="00B80865" w:rsidRPr="003769C8">
              <w:rPr>
                <w:noProof/>
              </w:rPr>
              <w:drawing>
                <wp:inline distT="0" distB="0" distL="0" distR="0" wp14:anchorId="3D79D195" wp14:editId="056A1D25">
                  <wp:extent cx="7315200" cy="1143000"/>
                  <wp:effectExtent l="0" t="0" r="0" b="0"/>
                  <wp:docPr id="1" name="Picture 1" descr="A blue screen with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creen with white text&#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315200" cy="1143000"/>
                          </a:xfrm>
                          <a:prstGeom prst="rect">
                            <a:avLst/>
                          </a:prstGeom>
                        </pic:spPr>
                      </pic:pic>
                    </a:graphicData>
                  </a:graphic>
                </wp:inline>
              </w:drawing>
            </w:r>
          </w:p>
        </w:tc>
      </w:tr>
    </w:tbl>
    <w:p w14:paraId="6A7C91E4" w14:textId="77777777" w:rsidR="00923FA2" w:rsidRPr="00341B97" w:rsidRDefault="00923FA2" w:rsidP="00923FA2">
      <w:pPr>
        <w:spacing w:after="80"/>
        <w:rPr>
          <w:rFonts w:ascii="Aptos" w:hAnsi="Aptos"/>
          <w:b/>
          <w:bCs/>
          <w:color w:val="003C71" w:themeColor="text2"/>
          <w:sz w:val="24"/>
          <w:szCs w:val="24"/>
        </w:rPr>
      </w:pPr>
      <w:r w:rsidRPr="00341B97">
        <w:rPr>
          <w:rFonts w:ascii="Aptos" w:hAnsi="Aptos"/>
          <w:b/>
          <w:bCs/>
          <w:color w:val="003C71" w:themeColor="text2"/>
          <w:sz w:val="24"/>
          <w:szCs w:val="24"/>
        </w:rPr>
        <w:t>TCAR Commercial Payer Post Denial Appeal Template Letter:</w:t>
      </w:r>
    </w:p>
    <w:p w14:paraId="47F5B710" w14:textId="1B66E72E" w:rsidR="00923FA2" w:rsidRPr="00D81CF4" w:rsidRDefault="00923FA2" w:rsidP="00923FA2">
      <w:pPr>
        <w:spacing w:after="0"/>
        <w:rPr>
          <w:rFonts w:ascii="Aptos" w:hAnsi="Aptos"/>
        </w:rPr>
      </w:pPr>
      <w:r w:rsidRPr="00D81CF4">
        <w:rPr>
          <w:rFonts w:ascii="Aptos" w:hAnsi="Aptos"/>
        </w:rPr>
        <w:t xml:space="preserve">This is a sample template for </w:t>
      </w:r>
      <w:r w:rsidR="00100F56" w:rsidRPr="00D81CF4">
        <w:rPr>
          <w:rFonts w:ascii="Aptos" w:hAnsi="Aptos"/>
        </w:rPr>
        <w:t>appealing for</w:t>
      </w:r>
      <w:r w:rsidRPr="00D81CF4">
        <w:rPr>
          <w:rFonts w:ascii="Aptos" w:hAnsi="Aptos"/>
        </w:rPr>
        <w:t xml:space="preserve"> a denial of coverage for the TCAR procedure</w:t>
      </w:r>
      <w:r w:rsidR="00AD72D6" w:rsidRPr="00D81CF4">
        <w:rPr>
          <w:rFonts w:ascii="Aptos" w:hAnsi="Aptos"/>
        </w:rPr>
        <w:t xml:space="preserve"> for commercial payers</w:t>
      </w:r>
      <w:r w:rsidRPr="00D81CF4">
        <w:rPr>
          <w:rFonts w:ascii="Aptos" w:hAnsi="Aptos"/>
        </w:rPr>
        <w:t>.</w:t>
      </w:r>
    </w:p>
    <w:p w14:paraId="387CB57B" w14:textId="77777777" w:rsidR="00923FA2" w:rsidRPr="00D1541E" w:rsidRDefault="00923FA2" w:rsidP="00923FA2">
      <w:pPr>
        <w:spacing w:after="0"/>
        <w:rPr>
          <w:rFonts w:ascii="SST Condensed" w:hAnsi="SST Condensed"/>
          <w:sz w:val="20"/>
          <w:szCs w:val="20"/>
        </w:rPr>
      </w:pPr>
    </w:p>
    <w:p w14:paraId="234B1344" w14:textId="77777777" w:rsidR="00923FA2" w:rsidRPr="00E45CFC" w:rsidRDefault="00923FA2" w:rsidP="00923FA2">
      <w:pPr>
        <w:spacing w:after="0"/>
        <w:rPr>
          <w:rFonts w:ascii="Aptos" w:hAnsi="Aptos"/>
          <w:b/>
          <w:bCs/>
        </w:rPr>
      </w:pPr>
      <w:r w:rsidRPr="00E45CFC">
        <w:rPr>
          <w:rFonts w:ascii="Aptos" w:hAnsi="Aptos"/>
          <w:b/>
          <w:bCs/>
        </w:rPr>
        <w:t>Instructions for completing the letter:</w:t>
      </w:r>
    </w:p>
    <w:p w14:paraId="122EDA8B" w14:textId="77777777" w:rsidR="00923FA2" w:rsidRPr="00E45CFC" w:rsidRDefault="00923FA2" w:rsidP="00923FA2">
      <w:pPr>
        <w:pStyle w:val="ListParagraph"/>
        <w:numPr>
          <w:ilvl w:val="0"/>
          <w:numId w:val="7"/>
        </w:numPr>
        <w:spacing w:after="0"/>
        <w:rPr>
          <w:rFonts w:ascii="Aptos" w:hAnsi="Aptos"/>
        </w:rPr>
      </w:pPr>
      <w:r w:rsidRPr="00E45CFC">
        <w:rPr>
          <w:rFonts w:ascii="Aptos" w:hAnsi="Aptos"/>
        </w:rPr>
        <w:t>Review the denial letter to understand the specific reason for denial and the options and timelines for appeal.</w:t>
      </w:r>
    </w:p>
    <w:p w14:paraId="2A82BADF" w14:textId="77777777" w:rsidR="00923FA2" w:rsidRPr="00E45CFC" w:rsidRDefault="00923FA2" w:rsidP="00923FA2">
      <w:pPr>
        <w:pStyle w:val="ListParagraph"/>
        <w:numPr>
          <w:ilvl w:val="0"/>
          <w:numId w:val="7"/>
        </w:numPr>
        <w:spacing w:after="0"/>
        <w:rPr>
          <w:rFonts w:ascii="Aptos" w:hAnsi="Aptos"/>
        </w:rPr>
      </w:pPr>
      <w:r w:rsidRPr="00E45CFC">
        <w:rPr>
          <w:rFonts w:ascii="Aptos" w:hAnsi="Aptos"/>
        </w:rPr>
        <w:t>Tailor the appeal letter to the patient’s condition and clinical history as well as any specific high risk (physiological or anatomic characteristics) or standard risk payer requirements. Ensure that all information provided is accurate and the medical necessity of the procedure is clearly documented in the patient’s medical record.</w:t>
      </w:r>
    </w:p>
    <w:p w14:paraId="7447D593" w14:textId="77777777" w:rsidR="00923FA2" w:rsidRPr="00E45CFC" w:rsidRDefault="00923FA2" w:rsidP="00923FA2">
      <w:pPr>
        <w:pStyle w:val="ListParagraph"/>
        <w:numPr>
          <w:ilvl w:val="0"/>
          <w:numId w:val="7"/>
        </w:numPr>
        <w:spacing w:after="0"/>
        <w:rPr>
          <w:rFonts w:ascii="Aptos" w:hAnsi="Aptos"/>
        </w:rPr>
      </w:pPr>
      <w:r w:rsidRPr="00E45CFC">
        <w:rPr>
          <w:rFonts w:ascii="Aptos" w:hAnsi="Aptos"/>
        </w:rPr>
        <w:t>Customize the fields highlighted in yellow.</w:t>
      </w:r>
    </w:p>
    <w:p w14:paraId="02D95D12" w14:textId="77777777" w:rsidR="00923FA2" w:rsidRPr="00E45CFC" w:rsidRDefault="00923FA2" w:rsidP="00923FA2">
      <w:pPr>
        <w:pStyle w:val="ListParagraph"/>
        <w:numPr>
          <w:ilvl w:val="0"/>
          <w:numId w:val="7"/>
        </w:numPr>
        <w:rPr>
          <w:rFonts w:ascii="Aptos" w:hAnsi="Aptos"/>
        </w:rPr>
      </w:pPr>
      <w:r w:rsidRPr="00E45CFC">
        <w:rPr>
          <w:rFonts w:ascii="Aptos" w:hAnsi="Aptos"/>
        </w:rPr>
        <w:t>Optional Links include FDA approval/clearance notifications for the ENROUTE</w:t>
      </w:r>
      <w:r w:rsidRPr="00E45CFC">
        <w:rPr>
          <w:rFonts w:ascii="Aptos" w:hAnsi="Aptos"/>
          <w:vertAlign w:val="superscript"/>
        </w:rPr>
        <w:t>®</w:t>
      </w:r>
      <w:r w:rsidRPr="00E45CFC">
        <w:rPr>
          <w:rFonts w:ascii="Aptos" w:hAnsi="Aptos"/>
        </w:rPr>
        <w:t xml:space="preserve"> </w:t>
      </w:r>
      <w:proofErr w:type="spellStart"/>
      <w:r w:rsidRPr="00E45CFC">
        <w:rPr>
          <w:rFonts w:ascii="Aptos" w:hAnsi="Aptos"/>
        </w:rPr>
        <w:t>Transcarotid</w:t>
      </w:r>
      <w:proofErr w:type="spellEnd"/>
      <w:r w:rsidRPr="00E45CFC">
        <w:rPr>
          <w:rFonts w:ascii="Aptos" w:hAnsi="Aptos"/>
        </w:rPr>
        <w:t xml:space="preserve"> Stent System and </w:t>
      </w:r>
      <w:proofErr w:type="spellStart"/>
      <w:r w:rsidRPr="00E45CFC">
        <w:rPr>
          <w:rFonts w:ascii="Aptos" w:hAnsi="Aptos"/>
        </w:rPr>
        <w:t>Transcarotid</w:t>
      </w:r>
      <w:proofErr w:type="spellEnd"/>
      <w:r w:rsidRPr="00E45CFC">
        <w:rPr>
          <w:rFonts w:ascii="Aptos" w:hAnsi="Aptos"/>
        </w:rPr>
        <w:t xml:space="preserve"> Neuroprotection System.</w:t>
      </w:r>
    </w:p>
    <w:p w14:paraId="67D427F8" w14:textId="77777777" w:rsidR="00923FA2" w:rsidRPr="00E45CFC" w:rsidRDefault="00923FA2" w:rsidP="00923FA2">
      <w:pPr>
        <w:pStyle w:val="ListParagraph"/>
        <w:numPr>
          <w:ilvl w:val="0"/>
          <w:numId w:val="7"/>
        </w:numPr>
        <w:rPr>
          <w:rFonts w:ascii="Aptos" w:hAnsi="Aptos"/>
        </w:rPr>
      </w:pPr>
      <w:r w:rsidRPr="00E45CFC">
        <w:rPr>
          <w:rFonts w:ascii="Aptos" w:hAnsi="Aptos"/>
        </w:rPr>
        <w:t>Optional enclosed CMS approval letters for standard- and high-risk patients.</w:t>
      </w:r>
    </w:p>
    <w:p w14:paraId="510E4A49" w14:textId="77777777" w:rsidR="00923FA2" w:rsidRPr="00E45CFC" w:rsidRDefault="00923FA2" w:rsidP="00923FA2">
      <w:pPr>
        <w:pStyle w:val="ListParagraph"/>
        <w:numPr>
          <w:ilvl w:val="0"/>
          <w:numId w:val="7"/>
        </w:numPr>
        <w:spacing w:after="0"/>
        <w:rPr>
          <w:rFonts w:ascii="Aptos" w:hAnsi="Aptos"/>
        </w:rPr>
      </w:pPr>
      <w:r w:rsidRPr="00E45CFC">
        <w:rPr>
          <w:rFonts w:ascii="Aptos" w:hAnsi="Aptos"/>
        </w:rPr>
        <w:t>Print the letter on your business letterhead.</w:t>
      </w:r>
    </w:p>
    <w:p w14:paraId="2C44A04C" w14:textId="77777777" w:rsidR="00923FA2" w:rsidRPr="00E45CFC" w:rsidRDefault="00923FA2" w:rsidP="00923FA2">
      <w:pPr>
        <w:pStyle w:val="ListParagraph"/>
        <w:numPr>
          <w:ilvl w:val="0"/>
          <w:numId w:val="7"/>
        </w:numPr>
        <w:spacing w:after="0"/>
        <w:ind w:right="-90"/>
        <w:rPr>
          <w:rFonts w:ascii="Aptos" w:hAnsi="Aptos"/>
        </w:rPr>
      </w:pPr>
      <w:r w:rsidRPr="00E45CFC">
        <w:rPr>
          <w:rFonts w:ascii="Aptos" w:hAnsi="Aptos"/>
        </w:rPr>
        <w:t>Make copies of everything submitted to the payer. Regularly follow up to ensure timely resolution of the appeal. Document your phone calls and interactions with the payer, including date, time, and name of contact person. Obtain reference numbers for your calls.</w:t>
      </w:r>
    </w:p>
    <w:p w14:paraId="5FC64BEA" w14:textId="77777777" w:rsidR="00923FA2" w:rsidRPr="00E45CFC" w:rsidRDefault="00923FA2" w:rsidP="00923FA2">
      <w:pPr>
        <w:spacing w:after="0"/>
        <w:rPr>
          <w:rFonts w:ascii="Aptos" w:hAnsi="Aptos"/>
        </w:rPr>
      </w:pPr>
    </w:p>
    <w:p w14:paraId="555B34B6" w14:textId="77777777" w:rsidR="00923FA2" w:rsidRPr="00E45CFC" w:rsidRDefault="00923FA2" w:rsidP="00923FA2">
      <w:pPr>
        <w:spacing w:after="0"/>
        <w:rPr>
          <w:rFonts w:ascii="Aptos" w:hAnsi="Aptos"/>
          <w:b/>
          <w:bCs/>
        </w:rPr>
      </w:pPr>
      <w:r w:rsidRPr="00E45CFC">
        <w:rPr>
          <w:rFonts w:ascii="Aptos" w:hAnsi="Aptos"/>
          <w:b/>
          <w:bCs/>
        </w:rPr>
        <w:t>Reimbursement Support</w:t>
      </w:r>
    </w:p>
    <w:p w14:paraId="270208C1" w14:textId="77777777" w:rsidR="00923FA2" w:rsidRPr="003950C0" w:rsidRDefault="00923FA2" w:rsidP="00923FA2">
      <w:pPr>
        <w:spacing w:after="0"/>
        <w:rPr>
          <w:rFonts w:ascii="Aptos" w:hAnsi="Aptos"/>
        </w:rPr>
      </w:pPr>
      <w:r w:rsidRPr="003950C0">
        <w:rPr>
          <w:rFonts w:ascii="Aptos" w:hAnsi="Aptos"/>
        </w:rPr>
        <w:t xml:space="preserve">For reimbursement assistance, please contact the </w:t>
      </w:r>
      <w:r w:rsidRPr="003950C0">
        <w:rPr>
          <w:rFonts w:ascii="Aptos" w:hAnsi="Aptos"/>
          <w:b/>
          <w:bCs/>
          <w:color w:val="30393D" w:themeColor="text1" w:themeShade="80"/>
        </w:rPr>
        <w:t>Boston Scientific PI Reimbursement team:</w:t>
      </w:r>
    </w:p>
    <w:p w14:paraId="14169767" w14:textId="77777777" w:rsidR="00923FA2" w:rsidRPr="003950C0" w:rsidRDefault="00923FA2" w:rsidP="00923FA2">
      <w:pPr>
        <w:pStyle w:val="ListParagraph"/>
        <w:numPr>
          <w:ilvl w:val="0"/>
          <w:numId w:val="8"/>
        </w:numPr>
        <w:spacing w:after="0"/>
        <w:ind w:left="720" w:hanging="360"/>
        <w:contextualSpacing w:val="0"/>
        <w:rPr>
          <w:rFonts w:ascii="Aptos" w:hAnsi="Aptos"/>
        </w:rPr>
      </w:pPr>
      <w:r w:rsidRPr="003950C0">
        <w:rPr>
          <w:rFonts w:ascii="Aptos" w:hAnsi="Aptos"/>
        </w:rPr>
        <w:t xml:space="preserve">Email: </w:t>
      </w:r>
      <w:hyperlink r:id="rId12" w:history="1">
        <w:r w:rsidRPr="003950C0">
          <w:rPr>
            <w:rStyle w:val="Hyperlink"/>
            <w:rFonts w:ascii="Aptos" w:hAnsi="Aptos"/>
          </w:rPr>
          <w:t>VT.Reimbursement@bsci.com</w:t>
        </w:r>
      </w:hyperlink>
      <w:r w:rsidRPr="003950C0">
        <w:rPr>
          <w:rFonts w:ascii="Aptos" w:hAnsi="Aptos"/>
        </w:rPr>
        <w:t xml:space="preserve"> </w:t>
      </w:r>
    </w:p>
    <w:p w14:paraId="41BB023D" w14:textId="77777777" w:rsidR="00923FA2" w:rsidRPr="003950C0" w:rsidRDefault="00923FA2" w:rsidP="00923FA2">
      <w:pPr>
        <w:pStyle w:val="ListParagraph"/>
        <w:numPr>
          <w:ilvl w:val="0"/>
          <w:numId w:val="9"/>
        </w:numPr>
        <w:spacing w:after="0"/>
        <w:contextualSpacing w:val="0"/>
        <w:rPr>
          <w:rFonts w:ascii="Aptos" w:hAnsi="Aptos"/>
        </w:rPr>
      </w:pPr>
      <w:r w:rsidRPr="003950C0">
        <w:rPr>
          <w:rFonts w:ascii="Aptos" w:hAnsi="Aptos"/>
        </w:rPr>
        <w:t>Website</w:t>
      </w:r>
      <w:r w:rsidRPr="003950C0">
        <w:rPr>
          <w:rFonts w:ascii="Aptos" w:hAnsi="Aptos"/>
          <w:color w:val="8800CC" w:themeColor="accent4"/>
        </w:rPr>
        <w:t xml:space="preserve">: </w:t>
      </w:r>
      <w:hyperlink r:id="rId13" w:tgtFrame="_blank" w:history="1">
        <w:proofErr w:type="spellStart"/>
        <w:r w:rsidRPr="003950C0">
          <w:rPr>
            <w:rStyle w:val="normaltextrun"/>
            <w:rFonts w:ascii="Aptos" w:hAnsi="Aptos" w:cs="Segoe UI"/>
            <w:b/>
            <w:bCs/>
            <w:color w:val="003C71" w:themeColor="text2"/>
            <w:shd w:val="clear" w:color="auto" w:fill="F5F5F5"/>
            <w:lang w:val="fr-FR"/>
          </w:rPr>
          <w:t>Peripheral</w:t>
        </w:r>
        <w:proofErr w:type="spellEnd"/>
      </w:hyperlink>
      <w:hyperlink r:id="rId14" w:tgtFrame="_blank" w:history="1">
        <w:r w:rsidRPr="003950C0">
          <w:rPr>
            <w:rStyle w:val="normaltextrun"/>
            <w:rFonts w:ascii="Aptos" w:hAnsi="Aptos" w:cs="Segoe UI"/>
            <w:b/>
            <w:bCs/>
            <w:color w:val="003C71" w:themeColor="text2"/>
            <w:shd w:val="clear" w:color="auto" w:fill="F5F5F5"/>
            <w:lang w:val="fr-FR"/>
          </w:rPr>
          <w:t xml:space="preserve"> </w:t>
        </w:r>
      </w:hyperlink>
      <w:hyperlink r:id="rId15" w:tgtFrame="_blank" w:history="1">
        <w:r w:rsidRPr="003950C0">
          <w:rPr>
            <w:rStyle w:val="normaltextrun"/>
            <w:rFonts w:ascii="Aptos" w:hAnsi="Aptos" w:cs="Segoe UI"/>
            <w:b/>
            <w:bCs/>
            <w:color w:val="003C71" w:themeColor="text2"/>
            <w:shd w:val="clear" w:color="auto" w:fill="F5F5F5"/>
            <w:lang w:val="fr-FR"/>
          </w:rPr>
          <w:t>Vascular</w:t>
        </w:r>
      </w:hyperlink>
      <w:hyperlink r:id="rId16" w:tgtFrame="_blank" w:history="1">
        <w:r w:rsidRPr="003950C0">
          <w:rPr>
            <w:rStyle w:val="normaltextrun"/>
            <w:rFonts w:ascii="Aptos" w:hAnsi="Aptos" w:cs="Segoe UI"/>
            <w:b/>
            <w:bCs/>
            <w:color w:val="003C71" w:themeColor="text2"/>
            <w:shd w:val="clear" w:color="auto" w:fill="F5F5F5"/>
            <w:lang w:val="fr-FR"/>
          </w:rPr>
          <w:t xml:space="preserve"> - Reimbursement - </w:t>
        </w:r>
      </w:hyperlink>
      <w:hyperlink r:id="rId17" w:tgtFrame="_blank" w:history="1">
        <w:r w:rsidRPr="003950C0">
          <w:rPr>
            <w:rStyle w:val="normaltextrun"/>
            <w:rFonts w:ascii="Aptos" w:hAnsi="Aptos" w:cs="Segoe UI"/>
            <w:b/>
            <w:bCs/>
            <w:color w:val="003C71" w:themeColor="text2"/>
            <w:shd w:val="clear" w:color="auto" w:fill="F5F5F5"/>
            <w:lang w:val="fr-FR"/>
          </w:rPr>
          <w:t>Boston Scientific</w:t>
        </w:r>
      </w:hyperlink>
    </w:p>
    <w:p w14:paraId="61E6F455" w14:textId="77777777" w:rsidR="00923FA2" w:rsidRPr="00D1541E" w:rsidRDefault="00923FA2" w:rsidP="00923FA2">
      <w:pPr>
        <w:spacing w:after="0"/>
        <w:rPr>
          <w:rFonts w:ascii="SST Condensed" w:hAnsi="SST Condensed"/>
          <w:sz w:val="20"/>
          <w:szCs w:val="20"/>
        </w:rPr>
      </w:pPr>
    </w:p>
    <w:p w14:paraId="743844D5" w14:textId="77777777" w:rsidR="00923FA2" w:rsidRPr="00D1541E" w:rsidRDefault="00923FA2" w:rsidP="00923FA2">
      <w:pPr>
        <w:spacing w:after="0"/>
        <w:contextualSpacing/>
        <w:rPr>
          <w:rFonts w:ascii="SST Condensed" w:hAnsi="SST Condensed"/>
          <w:b/>
          <w:bCs/>
          <w:sz w:val="20"/>
          <w:szCs w:val="20"/>
        </w:rPr>
      </w:pPr>
      <w:r w:rsidRPr="00D1541E">
        <w:rPr>
          <w:rFonts w:ascii="SST Condensed" w:hAnsi="SST Condensed"/>
          <w:b/>
          <w:bCs/>
          <w:sz w:val="20"/>
          <w:szCs w:val="20"/>
        </w:rPr>
        <w:t xml:space="preserve">Boston Scientific provides this template for physicians and providers to complete; it is not meant to be used as a form letter. </w:t>
      </w:r>
    </w:p>
    <w:p w14:paraId="2DB5850F" w14:textId="77777777" w:rsidR="00923FA2" w:rsidRPr="00A63066" w:rsidRDefault="00923FA2" w:rsidP="00923FA2">
      <w:pPr>
        <w:spacing w:after="0"/>
        <w:contextualSpacing/>
        <w:rPr>
          <w:rFonts w:ascii="SST Condensed" w:hAnsi="SST Condensed"/>
          <w:b/>
          <w:bCs/>
          <w:sz w:val="14"/>
          <w:szCs w:val="14"/>
        </w:rPr>
      </w:pPr>
      <w:r w:rsidRPr="00A63066">
        <w:rPr>
          <w:rFonts w:ascii="SST Condensed" w:hAnsi="SST Condensed"/>
          <w:b/>
          <w:bCs/>
          <w:sz w:val="14"/>
          <w:szCs w:val="14"/>
        </w:rPr>
        <w:t xml:space="preserve">ENROUTE </w:t>
      </w:r>
      <w:proofErr w:type="spellStart"/>
      <w:r w:rsidRPr="00A63066">
        <w:rPr>
          <w:rFonts w:ascii="SST Condensed" w:hAnsi="SST Condensed"/>
          <w:b/>
          <w:bCs/>
          <w:sz w:val="14"/>
          <w:szCs w:val="14"/>
        </w:rPr>
        <w:t>Transcarotid</w:t>
      </w:r>
      <w:proofErr w:type="spellEnd"/>
      <w:r w:rsidRPr="00A63066">
        <w:rPr>
          <w:rFonts w:ascii="SST Condensed" w:hAnsi="SST Condensed"/>
          <w:b/>
          <w:bCs/>
          <w:sz w:val="14"/>
          <w:szCs w:val="14"/>
        </w:rPr>
        <w:t xml:space="preserve"> Stent System</w:t>
      </w:r>
    </w:p>
    <w:p w14:paraId="27BE56A9" w14:textId="77777777" w:rsidR="00923FA2" w:rsidRPr="00A63066" w:rsidRDefault="00923FA2" w:rsidP="00923FA2">
      <w:pPr>
        <w:spacing w:after="0" w:line="240" w:lineRule="auto"/>
        <w:rPr>
          <w:rFonts w:ascii="SST Condensed" w:hAnsi="SST Condensed"/>
          <w:sz w:val="14"/>
          <w:szCs w:val="14"/>
        </w:rPr>
      </w:pPr>
      <w:r w:rsidRPr="00A63066">
        <w:rPr>
          <w:rFonts w:ascii="SST Condensed" w:hAnsi="SST Condensed"/>
          <w:b/>
          <w:bCs/>
          <w:sz w:val="14"/>
          <w:szCs w:val="14"/>
        </w:rPr>
        <w:t>INTENDED USE/INDICATIONS FOR USE</w:t>
      </w:r>
      <w:r w:rsidRPr="00A63066">
        <w:rPr>
          <w:rFonts w:ascii="SST Condensed" w:hAnsi="SST Condensed"/>
          <w:sz w:val="14"/>
          <w:szCs w:val="14"/>
        </w:rPr>
        <w:t xml:space="preserve"> The ENROUTE® </w:t>
      </w:r>
      <w:proofErr w:type="spellStart"/>
      <w:r w:rsidRPr="00A63066">
        <w:rPr>
          <w:rFonts w:ascii="SST Condensed" w:hAnsi="SST Condensed"/>
          <w:sz w:val="14"/>
          <w:szCs w:val="14"/>
        </w:rPr>
        <w:t>Transcarotid</w:t>
      </w:r>
      <w:proofErr w:type="spellEnd"/>
      <w:r w:rsidRPr="00A63066">
        <w:rPr>
          <w:rFonts w:ascii="SST Condensed" w:hAnsi="SST Condensed"/>
          <w:sz w:val="14"/>
          <w:szCs w:val="14"/>
        </w:rPr>
        <w:t xml:space="preserve"> Stent System used in conjunction with the ENROUTE </w:t>
      </w:r>
      <w:proofErr w:type="spellStart"/>
      <w:r w:rsidRPr="00A63066">
        <w:rPr>
          <w:rFonts w:ascii="SST Condensed" w:hAnsi="SST Condensed"/>
          <w:sz w:val="14"/>
          <w:szCs w:val="14"/>
        </w:rPr>
        <w:t>Transcarotid</w:t>
      </w:r>
      <w:proofErr w:type="spellEnd"/>
      <w:r w:rsidRPr="00A63066">
        <w:rPr>
          <w:rFonts w:ascii="SST Condensed" w:hAnsi="SST Condensed"/>
          <w:sz w:val="14"/>
          <w:szCs w:val="14"/>
        </w:rPr>
        <w:t xml:space="preserve"> Neuroprotection System (NPS) is indicated for the treatment of patients at high risk and standard risk for adverse events from carotid endarterectomy, who require carotid revascularization and meet the criteria outlined below: High Risk | Standard Risk With neurological symptoms: ≥ 50% stenosis of the common or internal carotid artery by ultrasound or angiogram | ≥ 70% stenosis of the common or internal carotid artery by ultrasound or ≥ 50% stenosis of the common or internal carotid artery by angiogram Without neurological symptoms: ≥ 80% stenosis of the common or internal carotid artery by ultrasound or angiogram | ≥ 70% stenosis of the common or internal carotid artery by ultrasound or ≥ 60% stenosis of the common or internal carotid artery by angiogram Reference vessel diameter: Must be within 4.0 mm – 9.0 mm at the target lesion Carotid bifurcation location: Minimum 5 cm above the clavicle to allow for placement of the ENROUTE </w:t>
      </w:r>
      <w:proofErr w:type="spellStart"/>
      <w:r w:rsidRPr="00A63066">
        <w:rPr>
          <w:rFonts w:ascii="SST Condensed" w:hAnsi="SST Condensed"/>
          <w:sz w:val="14"/>
          <w:szCs w:val="14"/>
        </w:rPr>
        <w:t>Transcarotid</w:t>
      </w:r>
      <w:proofErr w:type="spellEnd"/>
      <w:r w:rsidRPr="00A63066">
        <w:rPr>
          <w:rFonts w:ascii="SST Condensed" w:hAnsi="SST Condensed"/>
          <w:sz w:val="14"/>
          <w:szCs w:val="14"/>
        </w:rPr>
        <w:t xml:space="preserve"> NPS </w:t>
      </w:r>
    </w:p>
    <w:p w14:paraId="4C0F4C70" w14:textId="77777777" w:rsidR="00923FA2" w:rsidRPr="00A63066" w:rsidRDefault="00923FA2" w:rsidP="00923FA2">
      <w:pPr>
        <w:spacing w:after="0" w:line="240" w:lineRule="auto"/>
        <w:rPr>
          <w:rFonts w:ascii="SST Condensed" w:hAnsi="SST Condensed"/>
          <w:sz w:val="14"/>
          <w:szCs w:val="14"/>
        </w:rPr>
      </w:pPr>
    </w:p>
    <w:p w14:paraId="01F443A0" w14:textId="77777777" w:rsidR="00923FA2" w:rsidRPr="00A63066" w:rsidRDefault="00923FA2" w:rsidP="00923FA2">
      <w:pPr>
        <w:spacing w:after="0" w:line="240" w:lineRule="auto"/>
        <w:rPr>
          <w:rFonts w:ascii="SST Condensed" w:hAnsi="SST Condensed"/>
          <w:b/>
          <w:bCs/>
          <w:sz w:val="14"/>
          <w:szCs w:val="14"/>
        </w:rPr>
      </w:pPr>
      <w:r w:rsidRPr="00A63066">
        <w:rPr>
          <w:rFonts w:ascii="SST Condensed" w:hAnsi="SST Condensed"/>
          <w:b/>
          <w:bCs/>
          <w:sz w:val="14"/>
          <w:szCs w:val="14"/>
        </w:rPr>
        <w:t xml:space="preserve">ENROUTE </w:t>
      </w:r>
      <w:proofErr w:type="spellStart"/>
      <w:r w:rsidRPr="00A63066">
        <w:rPr>
          <w:rFonts w:ascii="SST Condensed" w:hAnsi="SST Condensed"/>
          <w:b/>
          <w:bCs/>
          <w:sz w:val="14"/>
          <w:szCs w:val="14"/>
        </w:rPr>
        <w:t>Transcarotid</w:t>
      </w:r>
      <w:proofErr w:type="spellEnd"/>
      <w:r w:rsidRPr="00A63066">
        <w:rPr>
          <w:rFonts w:ascii="SST Condensed" w:hAnsi="SST Condensed"/>
          <w:b/>
          <w:bCs/>
          <w:sz w:val="14"/>
          <w:szCs w:val="14"/>
        </w:rPr>
        <w:t xml:space="preserve"> Neuroprotection System</w:t>
      </w:r>
    </w:p>
    <w:p w14:paraId="12D309EC" w14:textId="77777777" w:rsidR="00923FA2" w:rsidRPr="00A63066" w:rsidRDefault="00923FA2" w:rsidP="00923FA2">
      <w:pPr>
        <w:spacing w:after="0" w:line="240" w:lineRule="auto"/>
        <w:rPr>
          <w:rFonts w:ascii="SST Condensed" w:hAnsi="SST Condensed"/>
          <w:sz w:val="14"/>
          <w:szCs w:val="14"/>
        </w:rPr>
      </w:pPr>
      <w:r w:rsidRPr="00A63066">
        <w:rPr>
          <w:rFonts w:ascii="SST Condensed" w:hAnsi="SST Condensed"/>
          <w:b/>
          <w:bCs/>
          <w:sz w:val="14"/>
          <w:szCs w:val="14"/>
        </w:rPr>
        <w:t>INTENDED USE/INDICATIONS FOR USE</w:t>
      </w:r>
      <w:r w:rsidRPr="00A63066">
        <w:rPr>
          <w:rFonts w:ascii="SST Condensed" w:hAnsi="SST Condensed"/>
          <w:sz w:val="14"/>
          <w:szCs w:val="14"/>
        </w:rPr>
        <w:t xml:space="preserve"> The ENROUTE </w:t>
      </w:r>
      <w:proofErr w:type="spellStart"/>
      <w:r w:rsidRPr="00A63066">
        <w:rPr>
          <w:rFonts w:ascii="SST Condensed" w:hAnsi="SST Condensed"/>
          <w:sz w:val="14"/>
          <w:szCs w:val="14"/>
        </w:rPr>
        <w:t>Transcarotid</w:t>
      </w:r>
      <w:proofErr w:type="spellEnd"/>
      <w:r w:rsidRPr="00A63066">
        <w:rPr>
          <w:rFonts w:ascii="SST Condensed" w:hAnsi="SST Condensed"/>
          <w:sz w:val="14"/>
          <w:szCs w:val="14"/>
        </w:rPr>
        <w:t xml:space="preserve"> Neuroprotection System (ENROUTE </w:t>
      </w:r>
      <w:proofErr w:type="spellStart"/>
      <w:r w:rsidRPr="00A63066">
        <w:rPr>
          <w:rFonts w:ascii="SST Condensed" w:hAnsi="SST Condensed"/>
          <w:sz w:val="14"/>
          <w:szCs w:val="14"/>
        </w:rPr>
        <w:t>Transcarotid</w:t>
      </w:r>
      <w:proofErr w:type="spellEnd"/>
      <w:r w:rsidRPr="00A63066">
        <w:rPr>
          <w:rFonts w:ascii="SST Condensed" w:hAnsi="SST Condensed"/>
          <w:sz w:val="14"/>
          <w:szCs w:val="14"/>
        </w:rPr>
        <w:t xml:space="preserve"> NPS) is intended to provide </w:t>
      </w:r>
      <w:proofErr w:type="spellStart"/>
      <w:r w:rsidRPr="00A63066">
        <w:rPr>
          <w:rFonts w:ascii="SST Condensed" w:hAnsi="SST Condensed"/>
          <w:sz w:val="14"/>
          <w:szCs w:val="14"/>
        </w:rPr>
        <w:t>transcarotid</w:t>
      </w:r>
      <w:proofErr w:type="spellEnd"/>
      <w:r w:rsidRPr="00A63066">
        <w:rPr>
          <w:rFonts w:ascii="SST Condensed" w:hAnsi="SST Condensed"/>
          <w:sz w:val="14"/>
          <w:szCs w:val="14"/>
        </w:rPr>
        <w:t xml:space="preserve"> vascular access, introduction of diagnostic agents and therapeutic devices, and embolic protection during carotid artery angioplasty and stenting procedures for patients diagnosed with carotid artery stenosis and who have appropriate anatomy described below: • Adequate femoral venous access • Common carotid artery reference diameter of at least 6 mm • Carotid bifurcation is a minimum of 5 cm above the clavicle as measured by duplex Doppler ultrasound (DUS) or computerized axial tomography (CT) angiography or magnetic resonance (MR) angiography. </w:t>
      </w:r>
    </w:p>
    <w:p w14:paraId="45307070" w14:textId="77777777" w:rsidR="00923FA2" w:rsidRPr="00A63066" w:rsidRDefault="00923FA2" w:rsidP="00923FA2">
      <w:pPr>
        <w:spacing w:after="0" w:line="240" w:lineRule="auto"/>
        <w:rPr>
          <w:rFonts w:ascii="SST Condensed" w:hAnsi="SST Condensed"/>
          <w:sz w:val="14"/>
          <w:szCs w:val="14"/>
        </w:rPr>
      </w:pPr>
    </w:p>
    <w:p w14:paraId="6E565107" w14:textId="77777777" w:rsidR="00923FA2" w:rsidRPr="00A63066" w:rsidRDefault="00923FA2" w:rsidP="00923FA2">
      <w:pPr>
        <w:widowControl w:val="0"/>
        <w:autoSpaceDE w:val="0"/>
        <w:autoSpaceDN w:val="0"/>
        <w:spacing w:after="0" w:line="240" w:lineRule="auto"/>
        <w:ind w:right="706"/>
        <w:outlineLvl w:val="1"/>
        <w:rPr>
          <w:rFonts w:ascii="SST Condensed" w:eastAsia="Verdana" w:hAnsi="SST Condensed"/>
          <w:b/>
          <w:bCs/>
          <w:spacing w:val="-4"/>
          <w:sz w:val="14"/>
          <w:szCs w:val="14"/>
          <w:lang w:bidi="en-US"/>
        </w:rPr>
      </w:pPr>
      <w:r w:rsidRPr="00A63066">
        <w:rPr>
          <w:rFonts w:ascii="SST Condensed" w:eastAsia="Verdana" w:hAnsi="SST Condensed"/>
          <w:b/>
          <w:bCs/>
          <w:spacing w:val="-4"/>
          <w:sz w:val="14"/>
          <w:szCs w:val="14"/>
          <w:lang w:bidi="en-US"/>
        </w:rPr>
        <w:t>IMPORTANT INFORMATION</w:t>
      </w:r>
    </w:p>
    <w:p w14:paraId="006F594E" w14:textId="77777777" w:rsidR="00923FA2" w:rsidRPr="00A63066" w:rsidRDefault="00923FA2" w:rsidP="00923FA2">
      <w:pPr>
        <w:autoSpaceDE w:val="0"/>
        <w:autoSpaceDN w:val="0"/>
        <w:adjustRightInd w:val="0"/>
        <w:spacing w:after="0" w:line="240" w:lineRule="auto"/>
        <w:jc w:val="both"/>
        <w:outlineLvl w:val="0"/>
        <w:rPr>
          <w:rFonts w:ascii="SST Condensed" w:eastAsia="Calibri" w:hAnsi="SST Condensed"/>
          <w:color w:val="000000"/>
          <w:sz w:val="14"/>
          <w:szCs w:val="14"/>
        </w:rPr>
      </w:pPr>
      <w:r w:rsidRPr="00A63066">
        <w:rPr>
          <w:rFonts w:ascii="SST Condensed" w:eastAsia="Calibri" w:hAnsi="SST Condensed"/>
          <w:color w:val="000000"/>
          <w:sz w:val="14"/>
          <w:szCs w:val="14"/>
        </w:rPr>
        <w:t xml:space="preserve">Health economic and reimbursement information provided by Boston Scientific Corporation is gathered from third-party sources and is subject to change without notice </w:t>
      </w:r>
      <w:proofErr w:type="gramStart"/>
      <w:r w:rsidRPr="00A63066">
        <w:rPr>
          <w:rFonts w:ascii="SST Condensed" w:eastAsia="Calibri" w:hAnsi="SST Condensed"/>
          <w:color w:val="000000"/>
          <w:sz w:val="14"/>
          <w:szCs w:val="14"/>
        </w:rPr>
        <w:t>as a result of</w:t>
      </w:r>
      <w:proofErr w:type="gramEnd"/>
      <w:r w:rsidRPr="00A63066">
        <w:rPr>
          <w:rFonts w:ascii="SST Condensed" w:eastAsia="Calibri" w:hAnsi="SST Condensed"/>
          <w:color w:val="000000"/>
          <w:sz w:val="14"/>
          <w:szCs w:val="14"/>
        </w:rPr>
        <w:t xml:space="preserve"> complex and frequently changing laws, regulations, rules, and policies. This information is presented for illustrative purposes only and does not constitute reimbursement or legal advice. Boston Scientific encourages providers to submit accurate and appropriate claims for services. It is always the provider’s responsibility to determine medical necessity, the proper site for delivery of any services, and to submit appropriate codes, charges, and modifiers for services rendered. It is also always the provider’s responsibility to understand and comply with Medicare national coverage determinations (NCD), Medicare local coverage determinations (LCD), and any other coverage requirements established by relevant payers which can be updated frequently. Boston Scientific recommends that you consult with your payers, reimbursement specialists, and/or legal counsel regarding coding, coverage, and reimbursement matters.</w:t>
      </w:r>
    </w:p>
    <w:p w14:paraId="4AC1BE35" w14:textId="77777777" w:rsidR="00923FA2" w:rsidRPr="00A63066" w:rsidRDefault="00923FA2" w:rsidP="00923FA2">
      <w:pPr>
        <w:autoSpaceDE w:val="0"/>
        <w:autoSpaceDN w:val="0"/>
        <w:adjustRightInd w:val="0"/>
        <w:spacing w:after="0" w:line="240" w:lineRule="auto"/>
        <w:jc w:val="both"/>
        <w:outlineLvl w:val="0"/>
        <w:rPr>
          <w:rFonts w:ascii="SST Condensed" w:eastAsia="Calibri" w:hAnsi="SST Condensed"/>
          <w:color w:val="000000"/>
          <w:sz w:val="14"/>
          <w:szCs w:val="14"/>
        </w:rPr>
      </w:pPr>
    </w:p>
    <w:p w14:paraId="05AACBEE" w14:textId="5CDA00A2" w:rsidR="00253953" w:rsidRDefault="00923FA2" w:rsidP="00923FA2">
      <w:pPr>
        <w:autoSpaceDE w:val="0"/>
        <w:autoSpaceDN w:val="0"/>
        <w:adjustRightInd w:val="0"/>
        <w:spacing w:after="0" w:line="240" w:lineRule="auto"/>
        <w:jc w:val="both"/>
        <w:outlineLvl w:val="0"/>
        <w:rPr>
          <w:rFonts w:ascii="SST Condensed" w:eastAsia="Calibri" w:hAnsi="SST Condensed"/>
          <w:color w:val="000000"/>
          <w:sz w:val="14"/>
          <w:szCs w:val="14"/>
        </w:rPr>
      </w:pPr>
      <w:r w:rsidRPr="00A63066">
        <w:rPr>
          <w:rFonts w:ascii="SST Condensed" w:eastAsia="Calibri" w:hAnsi="SST Condensed"/>
          <w:color w:val="000000"/>
          <w:sz w:val="14"/>
          <w:szCs w:val="14"/>
        </w:rPr>
        <w:t>Boston Scientific does not promote the use of its products outside their FDA-approved label. Payer policies will vary and should be verified prior to treatment for limitations on diagnosis, coding, or site of service requirements. All trademarks are the property of their respective owners.</w:t>
      </w:r>
    </w:p>
    <w:p w14:paraId="32573299" w14:textId="77777777" w:rsidR="00253953" w:rsidRDefault="00253953">
      <w:pPr>
        <w:spacing w:after="0" w:line="240" w:lineRule="auto"/>
        <w:rPr>
          <w:rFonts w:ascii="SST Condensed" w:eastAsia="Calibri" w:hAnsi="SST Condensed"/>
          <w:color w:val="000000"/>
          <w:sz w:val="14"/>
          <w:szCs w:val="14"/>
        </w:rPr>
      </w:pPr>
      <w:r>
        <w:rPr>
          <w:rFonts w:ascii="SST Condensed" w:eastAsia="Calibri" w:hAnsi="SST Condensed"/>
          <w:color w:val="000000"/>
          <w:sz w:val="14"/>
          <w:szCs w:val="14"/>
        </w:rPr>
        <w:br w:type="page"/>
      </w:r>
    </w:p>
    <w:p w14:paraId="26F6B27A" w14:textId="3C67C5FA" w:rsidR="00923FA2" w:rsidRPr="009602DF" w:rsidRDefault="00923FA2" w:rsidP="00E45CFC">
      <w:pPr>
        <w:spacing w:after="0" w:line="240" w:lineRule="auto"/>
        <w:rPr>
          <w:rFonts w:ascii="Aptos" w:hAnsi="Aptos"/>
          <w:sz w:val="20"/>
          <w:szCs w:val="20"/>
          <w:highlight w:val="yellow"/>
        </w:rPr>
      </w:pPr>
      <w:r w:rsidRPr="009602DF">
        <w:rPr>
          <w:rFonts w:ascii="Aptos" w:hAnsi="Aptos"/>
          <w:sz w:val="20"/>
          <w:szCs w:val="20"/>
          <w:highlight w:val="yellow"/>
        </w:rPr>
        <w:lastRenderedPageBreak/>
        <w:t>Date]</w:t>
      </w:r>
    </w:p>
    <w:p w14:paraId="6129BC59" w14:textId="77777777" w:rsidR="00923FA2" w:rsidRPr="009602DF" w:rsidRDefault="00923FA2" w:rsidP="00923FA2">
      <w:pPr>
        <w:spacing w:after="0"/>
        <w:rPr>
          <w:rFonts w:ascii="Aptos" w:hAnsi="Aptos"/>
          <w:sz w:val="20"/>
          <w:szCs w:val="20"/>
          <w:highlight w:val="yellow"/>
        </w:rPr>
      </w:pPr>
    </w:p>
    <w:p w14:paraId="192B8DDB" w14:textId="77777777" w:rsidR="00923FA2" w:rsidRPr="009602DF" w:rsidRDefault="00923FA2" w:rsidP="00923FA2">
      <w:pPr>
        <w:spacing w:after="0"/>
        <w:rPr>
          <w:rFonts w:ascii="Aptos" w:hAnsi="Aptos"/>
          <w:sz w:val="20"/>
          <w:szCs w:val="20"/>
          <w:highlight w:val="yellow"/>
        </w:rPr>
      </w:pPr>
      <w:r w:rsidRPr="009602DF">
        <w:rPr>
          <w:rFonts w:ascii="Aptos" w:hAnsi="Aptos"/>
          <w:sz w:val="20"/>
          <w:szCs w:val="20"/>
          <w:highlight w:val="yellow"/>
        </w:rPr>
        <w:t>[Payer Name]</w:t>
      </w:r>
    </w:p>
    <w:p w14:paraId="36EDD723" w14:textId="77777777" w:rsidR="00923FA2" w:rsidRPr="009602DF" w:rsidRDefault="00923FA2" w:rsidP="00923FA2">
      <w:pPr>
        <w:spacing w:after="0"/>
        <w:rPr>
          <w:rFonts w:ascii="Aptos" w:hAnsi="Aptos"/>
          <w:sz w:val="20"/>
          <w:szCs w:val="20"/>
          <w:highlight w:val="yellow"/>
        </w:rPr>
      </w:pPr>
      <w:r w:rsidRPr="009602DF">
        <w:rPr>
          <w:rFonts w:ascii="Aptos" w:hAnsi="Aptos"/>
          <w:sz w:val="20"/>
          <w:szCs w:val="20"/>
          <w:highlight w:val="yellow"/>
        </w:rPr>
        <w:t>[Payer Address]</w:t>
      </w:r>
    </w:p>
    <w:p w14:paraId="5D63259E" w14:textId="77777777" w:rsidR="00923FA2" w:rsidRPr="009602DF" w:rsidRDefault="00923FA2" w:rsidP="00923FA2">
      <w:pPr>
        <w:spacing w:after="0"/>
        <w:rPr>
          <w:rFonts w:ascii="Aptos" w:hAnsi="Aptos"/>
          <w:sz w:val="20"/>
          <w:szCs w:val="20"/>
          <w:highlight w:val="yellow"/>
        </w:rPr>
      </w:pPr>
      <w:r w:rsidRPr="009602DF">
        <w:rPr>
          <w:rFonts w:ascii="Aptos" w:hAnsi="Aptos"/>
          <w:sz w:val="20"/>
          <w:szCs w:val="20"/>
          <w:highlight w:val="yellow"/>
        </w:rPr>
        <w:t>[City, State, Zip Code]</w:t>
      </w:r>
    </w:p>
    <w:p w14:paraId="3FA6F850" w14:textId="77777777" w:rsidR="00923FA2" w:rsidRPr="009602DF" w:rsidRDefault="00923FA2" w:rsidP="00923FA2">
      <w:pPr>
        <w:spacing w:after="0"/>
        <w:rPr>
          <w:rFonts w:ascii="Aptos" w:hAnsi="Aptos"/>
          <w:sz w:val="20"/>
          <w:szCs w:val="20"/>
        </w:rPr>
      </w:pPr>
      <w:r w:rsidRPr="009602DF">
        <w:rPr>
          <w:rFonts w:ascii="Aptos" w:hAnsi="Aptos"/>
          <w:sz w:val="20"/>
          <w:szCs w:val="20"/>
          <w:highlight w:val="yellow"/>
        </w:rPr>
        <w:t>[Payer Phone Number]</w:t>
      </w:r>
    </w:p>
    <w:p w14:paraId="0390EDB5" w14:textId="77777777" w:rsidR="00923FA2" w:rsidRPr="009602DF" w:rsidRDefault="00923FA2" w:rsidP="00923FA2">
      <w:pPr>
        <w:spacing w:after="0"/>
        <w:rPr>
          <w:rFonts w:ascii="Aptos" w:hAnsi="Aptos"/>
          <w:sz w:val="20"/>
          <w:szCs w:val="20"/>
        </w:rPr>
      </w:pPr>
      <w:r w:rsidRPr="009602DF">
        <w:rPr>
          <w:rFonts w:ascii="Aptos" w:hAnsi="Aptos"/>
          <w:sz w:val="20"/>
          <w:szCs w:val="20"/>
          <w:highlight w:val="yellow"/>
        </w:rPr>
        <w:t>[Payer Email Address – if known]</w:t>
      </w:r>
    </w:p>
    <w:p w14:paraId="69FBE7A8" w14:textId="77777777" w:rsidR="00923FA2" w:rsidRPr="009602DF" w:rsidRDefault="00923FA2" w:rsidP="00923FA2">
      <w:pPr>
        <w:spacing w:after="0"/>
        <w:rPr>
          <w:rFonts w:ascii="Aptos" w:hAnsi="Aptos"/>
          <w:sz w:val="20"/>
          <w:szCs w:val="20"/>
        </w:rPr>
      </w:pPr>
    </w:p>
    <w:p w14:paraId="7FF30CFE" w14:textId="77777777" w:rsidR="00923FA2" w:rsidRPr="009602DF" w:rsidRDefault="00923FA2" w:rsidP="00923FA2">
      <w:pPr>
        <w:tabs>
          <w:tab w:val="left" w:pos="5040"/>
        </w:tabs>
        <w:spacing w:after="0"/>
        <w:rPr>
          <w:rFonts w:ascii="Aptos" w:hAnsi="Aptos"/>
          <w:sz w:val="20"/>
          <w:szCs w:val="20"/>
        </w:rPr>
      </w:pPr>
      <w:r w:rsidRPr="009602DF">
        <w:rPr>
          <w:rFonts w:ascii="Aptos" w:hAnsi="Aptos"/>
          <w:sz w:val="20"/>
          <w:szCs w:val="20"/>
        </w:rPr>
        <w:t xml:space="preserve">Subject: Appeal of Post approval Denial for </w:t>
      </w:r>
      <w:proofErr w:type="spellStart"/>
      <w:r w:rsidRPr="009602DF">
        <w:rPr>
          <w:rFonts w:ascii="Aptos" w:hAnsi="Aptos"/>
          <w:sz w:val="20"/>
          <w:szCs w:val="20"/>
        </w:rPr>
        <w:t>TransCarotid</w:t>
      </w:r>
      <w:proofErr w:type="spellEnd"/>
      <w:r w:rsidRPr="009602DF">
        <w:rPr>
          <w:rFonts w:ascii="Aptos" w:hAnsi="Aptos"/>
          <w:sz w:val="20"/>
          <w:szCs w:val="20"/>
        </w:rPr>
        <w:t xml:space="preserve"> Artery Revascularization (TCAR) </w:t>
      </w:r>
    </w:p>
    <w:p w14:paraId="2A465ADF" w14:textId="77777777" w:rsidR="00923FA2" w:rsidRPr="009602DF" w:rsidRDefault="00923FA2" w:rsidP="00923FA2">
      <w:pPr>
        <w:tabs>
          <w:tab w:val="left" w:pos="5040"/>
        </w:tabs>
        <w:spacing w:after="0"/>
        <w:rPr>
          <w:rFonts w:ascii="Aptos" w:hAnsi="Aptos"/>
          <w:sz w:val="20"/>
          <w:szCs w:val="20"/>
        </w:rPr>
      </w:pPr>
    </w:p>
    <w:p w14:paraId="6818D462" w14:textId="77777777" w:rsidR="00923FA2" w:rsidRPr="009602DF" w:rsidRDefault="00923FA2" w:rsidP="00923FA2">
      <w:pPr>
        <w:tabs>
          <w:tab w:val="left" w:pos="5040"/>
        </w:tabs>
        <w:spacing w:after="0"/>
        <w:rPr>
          <w:rFonts w:ascii="Aptos" w:hAnsi="Aptos"/>
          <w:sz w:val="20"/>
          <w:szCs w:val="20"/>
        </w:rPr>
      </w:pPr>
      <w:r w:rsidRPr="009602DF">
        <w:rPr>
          <w:rFonts w:ascii="Aptos" w:hAnsi="Aptos"/>
          <w:sz w:val="20"/>
          <w:szCs w:val="20"/>
        </w:rPr>
        <w:t xml:space="preserve">Dear </w:t>
      </w:r>
      <w:r w:rsidRPr="009602DF">
        <w:rPr>
          <w:rFonts w:ascii="Aptos" w:hAnsi="Aptos"/>
          <w:sz w:val="20"/>
          <w:szCs w:val="20"/>
          <w:highlight w:val="yellow"/>
        </w:rPr>
        <w:t>[Payer Contact Person Name or "Claims Department"]</w:t>
      </w:r>
      <w:r w:rsidRPr="009602DF">
        <w:rPr>
          <w:rFonts w:ascii="Aptos" w:hAnsi="Aptos"/>
          <w:sz w:val="20"/>
          <w:szCs w:val="20"/>
        </w:rPr>
        <w:t>,</w:t>
      </w:r>
    </w:p>
    <w:p w14:paraId="1B98965C" w14:textId="77777777" w:rsidR="00923FA2" w:rsidRPr="009602DF" w:rsidRDefault="00923FA2" w:rsidP="00923FA2">
      <w:pPr>
        <w:tabs>
          <w:tab w:val="left" w:pos="5040"/>
        </w:tabs>
        <w:spacing w:after="0"/>
        <w:rPr>
          <w:rFonts w:ascii="Aptos" w:hAnsi="Aptos"/>
          <w:sz w:val="20"/>
          <w:szCs w:val="20"/>
        </w:rPr>
      </w:pPr>
    </w:p>
    <w:p w14:paraId="47CD0A55" w14:textId="77777777" w:rsidR="00923FA2" w:rsidRPr="009602DF" w:rsidRDefault="00923FA2" w:rsidP="00923FA2">
      <w:pPr>
        <w:tabs>
          <w:tab w:val="left" w:pos="5040"/>
        </w:tabs>
        <w:spacing w:after="0"/>
        <w:rPr>
          <w:rFonts w:ascii="Aptos" w:hAnsi="Aptos"/>
          <w:sz w:val="20"/>
          <w:szCs w:val="20"/>
        </w:rPr>
      </w:pPr>
      <w:r w:rsidRPr="009602DF">
        <w:rPr>
          <w:rFonts w:ascii="Aptos" w:hAnsi="Aptos"/>
          <w:sz w:val="20"/>
          <w:szCs w:val="20"/>
        </w:rPr>
        <w:t xml:space="preserve">This letter is to formally request a post-appeal reconsideration for the claim referenced below. We believe this denial was in error for the </w:t>
      </w:r>
      <w:proofErr w:type="spellStart"/>
      <w:r w:rsidRPr="009602DF">
        <w:rPr>
          <w:rFonts w:ascii="Aptos" w:hAnsi="Aptos"/>
          <w:sz w:val="20"/>
          <w:szCs w:val="20"/>
        </w:rPr>
        <w:t>TransCarotid</w:t>
      </w:r>
      <w:proofErr w:type="spellEnd"/>
      <w:r w:rsidRPr="009602DF">
        <w:rPr>
          <w:rFonts w:ascii="Aptos" w:hAnsi="Aptos"/>
          <w:sz w:val="20"/>
          <w:szCs w:val="20"/>
        </w:rPr>
        <w:t xml:space="preserve"> Artery Revascularization (TCAR) procedure performed on </w:t>
      </w:r>
      <w:r w:rsidRPr="009602DF">
        <w:rPr>
          <w:rFonts w:ascii="Aptos" w:hAnsi="Aptos"/>
          <w:sz w:val="20"/>
          <w:szCs w:val="20"/>
          <w:highlight w:val="yellow"/>
        </w:rPr>
        <w:t>[Patient Name]</w:t>
      </w:r>
      <w:r w:rsidRPr="009602DF">
        <w:rPr>
          <w:rFonts w:ascii="Aptos" w:hAnsi="Aptos"/>
          <w:sz w:val="20"/>
          <w:szCs w:val="20"/>
        </w:rPr>
        <w:t xml:space="preserve"> on </w:t>
      </w:r>
      <w:r w:rsidRPr="009602DF">
        <w:rPr>
          <w:rFonts w:ascii="Aptos" w:hAnsi="Aptos"/>
          <w:sz w:val="20"/>
          <w:szCs w:val="20"/>
          <w:highlight w:val="yellow"/>
        </w:rPr>
        <w:t>[Date of Service]</w:t>
      </w:r>
      <w:r w:rsidRPr="009602DF">
        <w:rPr>
          <w:rFonts w:ascii="Aptos" w:hAnsi="Aptos"/>
          <w:sz w:val="20"/>
          <w:szCs w:val="20"/>
        </w:rPr>
        <w:t>. The claim was initially denied with the reason stated as: "</w:t>
      </w:r>
      <w:r w:rsidRPr="009602DF">
        <w:rPr>
          <w:rFonts w:ascii="Aptos" w:hAnsi="Aptos"/>
          <w:sz w:val="20"/>
          <w:szCs w:val="20"/>
          <w:highlight w:val="yellow"/>
        </w:rPr>
        <w:t>[Clearly state the reason for denial as provided by the payer]</w:t>
      </w:r>
      <w:r w:rsidRPr="009602DF">
        <w:rPr>
          <w:rFonts w:ascii="Aptos" w:hAnsi="Aptos"/>
          <w:sz w:val="20"/>
          <w:szCs w:val="20"/>
        </w:rPr>
        <w:t>."</w:t>
      </w:r>
    </w:p>
    <w:p w14:paraId="20124096" w14:textId="77777777" w:rsidR="00923FA2" w:rsidRPr="009602DF" w:rsidRDefault="00923FA2" w:rsidP="00923FA2">
      <w:pPr>
        <w:tabs>
          <w:tab w:val="left" w:pos="5040"/>
        </w:tabs>
        <w:spacing w:after="0"/>
        <w:rPr>
          <w:rFonts w:ascii="Aptos" w:hAnsi="Aptos"/>
          <w:sz w:val="20"/>
          <w:szCs w:val="20"/>
        </w:rPr>
      </w:pPr>
    </w:p>
    <w:p w14:paraId="77448EEF" w14:textId="77777777" w:rsidR="00923FA2" w:rsidRPr="009602DF" w:rsidRDefault="00923FA2" w:rsidP="00923FA2">
      <w:pPr>
        <w:spacing w:after="120"/>
        <w:rPr>
          <w:rStyle w:val="text-token-text-primary"/>
          <w:rFonts w:ascii="Aptos" w:hAnsi="Aptos"/>
          <w:sz w:val="20"/>
          <w:szCs w:val="20"/>
        </w:rPr>
      </w:pPr>
      <w:r w:rsidRPr="009602DF">
        <w:rPr>
          <w:rStyle w:val="Strong"/>
          <w:sz w:val="20"/>
          <w:szCs w:val="20"/>
        </w:rPr>
        <w:t>Patient Information:</w:t>
      </w:r>
      <w:r w:rsidRPr="009602DF">
        <w:rPr>
          <w:sz w:val="20"/>
          <w:szCs w:val="20"/>
        </w:rPr>
        <w:br/>
      </w:r>
      <w:r w:rsidRPr="009602DF">
        <w:rPr>
          <w:rFonts w:ascii="Aptos" w:hAnsi="Aptos"/>
          <w:sz w:val="20"/>
          <w:szCs w:val="20"/>
          <w:highlight w:val="yellow"/>
        </w:rPr>
        <w:t xml:space="preserve">Patient Name: </w:t>
      </w:r>
      <w:r w:rsidRPr="009602DF">
        <w:rPr>
          <w:rStyle w:val="text-token-text-primary"/>
          <w:rFonts w:ascii="Aptos" w:hAnsi="Aptos"/>
          <w:sz w:val="20"/>
          <w:szCs w:val="20"/>
          <w:highlight w:val="yellow"/>
        </w:rPr>
        <w:t>[Patient Name]</w:t>
      </w:r>
      <w:r w:rsidRPr="009602DF">
        <w:rPr>
          <w:rFonts w:ascii="Aptos" w:hAnsi="Aptos"/>
          <w:sz w:val="20"/>
          <w:szCs w:val="20"/>
          <w:highlight w:val="yellow"/>
        </w:rPr>
        <w:br/>
        <w:t xml:space="preserve">Member ID: </w:t>
      </w:r>
      <w:r w:rsidRPr="009602DF">
        <w:rPr>
          <w:rStyle w:val="text-token-text-primary"/>
          <w:rFonts w:ascii="Aptos" w:hAnsi="Aptos"/>
          <w:sz w:val="20"/>
          <w:szCs w:val="20"/>
          <w:highlight w:val="yellow"/>
        </w:rPr>
        <w:t>[Member ID]</w:t>
      </w:r>
      <w:r w:rsidRPr="009602DF">
        <w:rPr>
          <w:rFonts w:ascii="Aptos" w:hAnsi="Aptos"/>
          <w:sz w:val="20"/>
          <w:szCs w:val="20"/>
          <w:highlight w:val="yellow"/>
        </w:rPr>
        <w:br/>
        <w:t xml:space="preserve">Date of Service: </w:t>
      </w:r>
      <w:r w:rsidRPr="009602DF">
        <w:rPr>
          <w:rStyle w:val="text-token-text-primary"/>
          <w:rFonts w:ascii="Aptos" w:hAnsi="Aptos"/>
          <w:sz w:val="20"/>
          <w:szCs w:val="20"/>
          <w:highlight w:val="yellow"/>
        </w:rPr>
        <w:t>[DOS]</w:t>
      </w:r>
      <w:r w:rsidRPr="009602DF">
        <w:rPr>
          <w:rFonts w:ascii="Aptos" w:hAnsi="Aptos"/>
          <w:sz w:val="20"/>
          <w:szCs w:val="20"/>
          <w:highlight w:val="yellow"/>
        </w:rPr>
        <w:br/>
        <w:t xml:space="preserve">Claim Number: </w:t>
      </w:r>
      <w:r w:rsidRPr="009602DF">
        <w:rPr>
          <w:rStyle w:val="text-token-text-primary"/>
          <w:rFonts w:ascii="Aptos" w:hAnsi="Aptos"/>
          <w:sz w:val="20"/>
          <w:szCs w:val="20"/>
          <w:highlight w:val="yellow"/>
        </w:rPr>
        <w:t>[Claim #]</w:t>
      </w:r>
      <w:r w:rsidRPr="009602DF">
        <w:rPr>
          <w:rFonts w:ascii="Aptos" w:hAnsi="Aptos"/>
          <w:sz w:val="20"/>
          <w:szCs w:val="20"/>
          <w:highlight w:val="yellow"/>
        </w:rPr>
        <w:br/>
        <w:t xml:space="preserve">Procedure/Service: </w:t>
      </w:r>
      <w:r w:rsidRPr="009602DF">
        <w:rPr>
          <w:rStyle w:val="text-token-text-primary"/>
          <w:rFonts w:ascii="Aptos" w:hAnsi="Aptos"/>
          <w:sz w:val="20"/>
          <w:szCs w:val="20"/>
          <w:highlight w:val="yellow"/>
        </w:rPr>
        <w:t>[CPT/HCPCS Code and Description]</w:t>
      </w:r>
    </w:p>
    <w:p w14:paraId="1C2C5BDD" w14:textId="77777777" w:rsidR="00923FA2" w:rsidRPr="009602DF" w:rsidRDefault="00923FA2" w:rsidP="00923FA2">
      <w:pPr>
        <w:tabs>
          <w:tab w:val="left" w:pos="5040"/>
        </w:tabs>
        <w:spacing w:after="0"/>
        <w:rPr>
          <w:rFonts w:ascii="Aptos" w:hAnsi="Aptos"/>
          <w:sz w:val="20"/>
          <w:szCs w:val="20"/>
        </w:rPr>
      </w:pPr>
      <w:r w:rsidRPr="009602DF">
        <w:rPr>
          <w:rFonts w:ascii="Aptos" w:hAnsi="Aptos"/>
          <w:sz w:val="20"/>
          <w:szCs w:val="20"/>
        </w:rPr>
        <w:t>The documentation previously submitted demonstrates that the TCAR procedure was appropriate for the patient’s condition and aligned with applicable coverage criteria and clinical guidelines. Denial of coverage appears inconsistent with the patient’s benefits and the medical necessity evidence supplied.</w:t>
      </w:r>
    </w:p>
    <w:p w14:paraId="7B44B1B9" w14:textId="77777777" w:rsidR="00C917D6" w:rsidRPr="009602DF" w:rsidRDefault="00C917D6" w:rsidP="00923FA2">
      <w:pPr>
        <w:tabs>
          <w:tab w:val="left" w:pos="5040"/>
        </w:tabs>
        <w:spacing w:after="0"/>
        <w:rPr>
          <w:rFonts w:ascii="Aptos" w:hAnsi="Aptos"/>
          <w:sz w:val="20"/>
          <w:szCs w:val="20"/>
        </w:rPr>
      </w:pPr>
    </w:p>
    <w:p w14:paraId="6CCCFCA2" w14:textId="77777777" w:rsidR="00923FA2" w:rsidRPr="009602DF" w:rsidRDefault="00923FA2" w:rsidP="00923FA2">
      <w:pPr>
        <w:tabs>
          <w:tab w:val="left" w:pos="5040"/>
        </w:tabs>
        <w:spacing w:after="0"/>
        <w:rPr>
          <w:rFonts w:ascii="Aptos" w:hAnsi="Aptos"/>
          <w:sz w:val="20"/>
          <w:szCs w:val="20"/>
          <w:highlight w:val="yellow"/>
        </w:rPr>
      </w:pPr>
      <w:r w:rsidRPr="009602DF">
        <w:rPr>
          <w:rFonts w:ascii="Aptos" w:hAnsi="Aptos"/>
          <w:sz w:val="20"/>
          <w:szCs w:val="20"/>
          <w:highlight w:val="yellow"/>
        </w:rPr>
        <w:t>Key considerations for reconsideration include:</w:t>
      </w:r>
    </w:p>
    <w:p w14:paraId="0F04BA68" w14:textId="77777777" w:rsidR="00923FA2" w:rsidRPr="009602DF" w:rsidRDefault="00923FA2" w:rsidP="00923FA2">
      <w:pPr>
        <w:pStyle w:val="ListParagraph"/>
        <w:numPr>
          <w:ilvl w:val="0"/>
          <w:numId w:val="10"/>
        </w:numPr>
        <w:tabs>
          <w:tab w:val="left" w:pos="5040"/>
        </w:tabs>
        <w:spacing w:after="0"/>
        <w:rPr>
          <w:rFonts w:ascii="Aptos" w:hAnsi="Aptos"/>
          <w:sz w:val="20"/>
          <w:szCs w:val="20"/>
          <w:highlight w:val="yellow"/>
        </w:rPr>
      </w:pPr>
      <w:r w:rsidRPr="009602DF">
        <w:rPr>
          <w:rFonts w:ascii="Aptos" w:hAnsi="Aptos"/>
          <w:sz w:val="20"/>
          <w:szCs w:val="20"/>
          <w:highlight w:val="yellow"/>
        </w:rPr>
        <w:t>Clinical documentation supporting medical necessity</w:t>
      </w:r>
    </w:p>
    <w:p w14:paraId="436FDC75" w14:textId="77777777" w:rsidR="00923FA2" w:rsidRPr="009602DF" w:rsidRDefault="00923FA2" w:rsidP="00923FA2">
      <w:pPr>
        <w:pStyle w:val="ListParagraph"/>
        <w:numPr>
          <w:ilvl w:val="0"/>
          <w:numId w:val="10"/>
        </w:numPr>
        <w:tabs>
          <w:tab w:val="left" w:pos="5040"/>
        </w:tabs>
        <w:spacing w:after="0"/>
        <w:rPr>
          <w:rFonts w:ascii="Aptos" w:hAnsi="Aptos"/>
          <w:sz w:val="20"/>
          <w:szCs w:val="20"/>
          <w:highlight w:val="yellow"/>
        </w:rPr>
      </w:pPr>
      <w:r w:rsidRPr="009602DF">
        <w:rPr>
          <w:rFonts w:ascii="Aptos" w:hAnsi="Aptos"/>
          <w:sz w:val="20"/>
          <w:szCs w:val="20"/>
          <w:highlight w:val="yellow"/>
        </w:rPr>
        <w:t xml:space="preserve">Compliance with </w:t>
      </w:r>
      <w:proofErr w:type="gramStart"/>
      <w:r w:rsidRPr="009602DF">
        <w:rPr>
          <w:rFonts w:ascii="Aptos" w:hAnsi="Aptos"/>
          <w:sz w:val="20"/>
          <w:szCs w:val="20"/>
          <w:highlight w:val="yellow"/>
        </w:rPr>
        <w:t>payer</w:t>
      </w:r>
      <w:proofErr w:type="gramEnd"/>
      <w:r w:rsidRPr="009602DF">
        <w:rPr>
          <w:rFonts w:ascii="Aptos" w:hAnsi="Aptos"/>
          <w:sz w:val="20"/>
          <w:szCs w:val="20"/>
          <w:highlight w:val="yellow"/>
        </w:rPr>
        <w:t xml:space="preserve"> policy requirements</w:t>
      </w:r>
    </w:p>
    <w:p w14:paraId="35694295" w14:textId="77777777" w:rsidR="00923FA2" w:rsidRPr="009602DF" w:rsidRDefault="00923FA2" w:rsidP="00923FA2">
      <w:pPr>
        <w:pStyle w:val="ListParagraph"/>
        <w:numPr>
          <w:ilvl w:val="0"/>
          <w:numId w:val="10"/>
        </w:numPr>
        <w:tabs>
          <w:tab w:val="left" w:pos="5040"/>
        </w:tabs>
        <w:spacing w:after="0"/>
        <w:rPr>
          <w:rFonts w:ascii="Aptos" w:hAnsi="Aptos"/>
          <w:sz w:val="20"/>
          <w:szCs w:val="20"/>
          <w:highlight w:val="yellow"/>
        </w:rPr>
      </w:pPr>
      <w:r w:rsidRPr="009602DF">
        <w:rPr>
          <w:rFonts w:ascii="Aptos" w:hAnsi="Aptos"/>
          <w:sz w:val="20"/>
          <w:szCs w:val="20"/>
          <w:highlight w:val="yellow"/>
        </w:rPr>
        <w:t>Provider adherence to standard treatment protocols</w:t>
      </w:r>
    </w:p>
    <w:p w14:paraId="222C0BF2" w14:textId="77777777" w:rsidR="00923FA2" w:rsidRPr="009602DF" w:rsidRDefault="00923FA2" w:rsidP="00923FA2">
      <w:pPr>
        <w:pStyle w:val="ListParagraph"/>
        <w:numPr>
          <w:ilvl w:val="0"/>
          <w:numId w:val="10"/>
        </w:numPr>
        <w:tabs>
          <w:tab w:val="left" w:pos="5040"/>
        </w:tabs>
        <w:spacing w:after="0"/>
        <w:rPr>
          <w:rFonts w:ascii="Aptos" w:hAnsi="Aptos"/>
          <w:sz w:val="20"/>
          <w:szCs w:val="20"/>
          <w:highlight w:val="yellow"/>
        </w:rPr>
      </w:pPr>
      <w:r w:rsidRPr="009602DF">
        <w:rPr>
          <w:rFonts w:ascii="Aptos" w:hAnsi="Aptos"/>
          <w:sz w:val="20"/>
          <w:szCs w:val="20"/>
          <w:highlight w:val="yellow"/>
        </w:rPr>
        <w:t>Impact on patient outcomes if services are not covered</w:t>
      </w:r>
    </w:p>
    <w:p w14:paraId="0ED31723" w14:textId="77777777" w:rsidR="00923FA2" w:rsidRPr="009602DF" w:rsidRDefault="00923FA2" w:rsidP="00923FA2">
      <w:pPr>
        <w:tabs>
          <w:tab w:val="left" w:pos="5040"/>
        </w:tabs>
        <w:spacing w:after="0"/>
        <w:rPr>
          <w:rFonts w:ascii="Aptos" w:hAnsi="Aptos"/>
          <w:sz w:val="20"/>
          <w:szCs w:val="20"/>
        </w:rPr>
      </w:pPr>
    </w:p>
    <w:p w14:paraId="532B537C" w14:textId="77777777" w:rsidR="00923FA2" w:rsidRPr="009602DF" w:rsidRDefault="00923FA2" w:rsidP="00923FA2">
      <w:pPr>
        <w:tabs>
          <w:tab w:val="left" w:pos="5040"/>
        </w:tabs>
        <w:spacing w:after="0"/>
        <w:rPr>
          <w:rFonts w:ascii="Aptos" w:hAnsi="Aptos"/>
          <w:sz w:val="20"/>
          <w:szCs w:val="20"/>
        </w:rPr>
      </w:pPr>
      <w:r w:rsidRPr="009602DF">
        <w:rPr>
          <w:rFonts w:ascii="Aptos" w:hAnsi="Aptos"/>
          <w:sz w:val="20"/>
          <w:szCs w:val="20"/>
        </w:rPr>
        <w:t>Refer to reference listing of TCAR clinical studies and publications supporting evidence for the safety, efficacy, and clinical value of this therapy.</w:t>
      </w:r>
    </w:p>
    <w:p w14:paraId="402E979C" w14:textId="77777777" w:rsidR="00923FA2" w:rsidRPr="009602DF" w:rsidRDefault="00923FA2" w:rsidP="00923FA2">
      <w:pPr>
        <w:tabs>
          <w:tab w:val="left" w:pos="5040"/>
        </w:tabs>
        <w:spacing w:after="0"/>
        <w:rPr>
          <w:rFonts w:ascii="Aptos" w:hAnsi="Aptos"/>
          <w:sz w:val="20"/>
          <w:szCs w:val="20"/>
        </w:rPr>
      </w:pPr>
    </w:p>
    <w:p w14:paraId="567B1429" w14:textId="77777777" w:rsidR="00923FA2" w:rsidRPr="009602DF" w:rsidRDefault="00923FA2" w:rsidP="00923FA2">
      <w:pPr>
        <w:tabs>
          <w:tab w:val="left" w:pos="5040"/>
        </w:tabs>
        <w:spacing w:after="0"/>
        <w:rPr>
          <w:rFonts w:ascii="Aptos" w:hAnsi="Aptos"/>
          <w:sz w:val="20"/>
          <w:szCs w:val="20"/>
        </w:rPr>
      </w:pPr>
      <w:r w:rsidRPr="009602DF">
        <w:rPr>
          <w:rFonts w:ascii="Aptos" w:hAnsi="Aptos"/>
          <w:sz w:val="20"/>
          <w:szCs w:val="20"/>
        </w:rPr>
        <w:t>We ask that you re-evaluate this determination with consideration of the enclosed materials, including updated clinical notes and additional supporting evidence. Should further documentation be required, please advise so we may provide it promptly.</w:t>
      </w:r>
    </w:p>
    <w:p w14:paraId="4AC15697" w14:textId="77777777" w:rsidR="00923FA2" w:rsidRPr="009602DF" w:rsidRDefault="00923FA2" w:rsidP="00923FA2">
      <w:pPr>
        <w:tabs>
          <w:tab w:val="left" w:pos="5040"/>
        </w:tabs>
        <w:spacing w:after="0"/>
        <w:rPr>
          <w:rFonts w:ascii="Aptos" w:hAnsi="Aptos"/>
          <w:sz w:val="20"/>
          <w:szCs w:val="20"/>
        </w:rPr>
      </w:pPr>
    </w:p>
    <w:p w14:paraId="7623B5B2" w14:textId="77777777" w:rsidR="00923FA2" w:rsidRPr="009602DF" w:rsidRDefault="00923FA2" w:rsidP="00923FA2">
      <w:pPr>
        <w:tabs>
          <w:tab w:val="left" w:pos="5040"/>
        </w:tabs>
        <w:spacing w:after="0"/>
        <w:rPr>
          <w:rFonts w:ascii="Aptos" w:hAnsi="Aptos"/>
          <w:sz w:val="20"/>
          <w:szCs w:val="20"/>
        </w:rPr>
      </w:pPr>
      <w:r w:rsidRPr="009602DF">
        <w:rPr>
          <w:rFonts w:ascii="Aptos" w:hAnsi="Aptos"/>
          <w:sz w:val="20"/>
          <w:szCs w:val="20"/>
        </w:rPr>
        <w:t xml:space="preserve">Thank you for your time and attention to this important matter. Please do not hesitate to contact me at </w:t>
      </w:r>
      <w:r w:rsidRPr="009602DF">
        <w:rPr>
          <w:rFonts w:ascii="Aptos" w:hAnsi="Aptos"/>
          <w:sz w:val="20"/>
          <w:szCs w:val="20"/>
          <w:highlight w:val="yellow"/>
        </w:rPr>
        <w:t>[Your Phone Number]</w:t>
      </w:r>
      <w:r w:rsidRPr="009602DF">
        <w:rPr>
          <w:rFonts w:ascii="Aptos" w:hAnsi="Aptos"/>
          <w:sz w:val="20"/>
          <w:szCs w:val="20"/>
        </w:rPr>
        <w:t xml:space="preserve"> or </w:t>
      </w:r>
      <w:r w:rsidRPr="009602DF">
        <w:rPr>
          <w:rFonts w:ascii="Aptos" w:hAnsi="Aptos"/>
          <w:sz w:val="20"/>
          <w:szCs w:val="20"/>
          <w:highlight w:val="yellow"/>
        </w:rPr>
        <w:t>[Your Email Address]</w:t>
      </w:r>
      <w:r w:rsidRPr="009602DF">
        <w:rPr>
          <w:rFonts w:ascii="Aptos" w:hAnsi="Aptos"/>
          <w:sz w:val="20"/>
          <w:szCs w:val="20"/>
        </w:rPr>
        <w:t xml:space="preserve"> if you require any further information or clarification.</w:t>
      </w:r>
    </w:p>
    <w:p w14:paraId="52FE5B82" w14:textId="77777777" w:rsidR="00923FA2" w:rsidRPr="009602DF" w:rsidRDefault="00923FA2" w:rsidP="00923FA2">
      <w:pPr>
        <w:tabs>
          <w:tab w:val="left" w:pos="5040"/>
        </w:tabs>
        <w:spacing w:after="0"/>
        <w:rPr>
          <w:rFonts w:ascii="Aptos" w:hAnsi="Aptos"/>
          <w:sz w:val="20"/>
          <w:szCs w:val="20"/>
        </w:rPr>
      </w:pPr>
    </w:p>
    <w:p w14:paraId="03096F29" w14:textId="77777777" w:rsidR="00923FA2" w:rsidRDefault="00923FA2" w:rsidP="00923FA2">
      <w:pPr>
        <w:tabs>
          <w:tab w:val="left" w:pos="5040"/>
        </w:tabs>
        <w:spacing w:after="0"/>
        <w:rPr>
          <w:rFonts w:ascii="Aptos" w:hAnsi="Aptos"/>
          <w:sz w:val="20"/>
          <w:szCs w:val="20"/>
        </w:rPr>
      </w:pPr>
      <w:r w:rsidRPr="009602DF">
        <w:rPr>
          <w:rFonts w:ascii="Aptos" w:hAnsi="Aptos"/>
          <w:sz w:val="20"/>
          <w:szCs w:val="20"/>
        </w:rPr>
        <w:t>Sincerely,</w:t>
      </w:r>
    </w:p>
    <w:p w14:paraId="1DEF197E" w14:textId="77777777" w:rsidR="00C84FC8" w:rsidRDefault="00C84FC8" w:rsidP="00923FA2">
      <w:pPr>
        <w:tabs>
          <w:tab w:val="left" w:pos="5040"/>
        </w:tabs>
        <w:spacing w:after="0"/>
        <w:rPr>
          <w:rFonts w:ascii="Aptos" w:hAnsi="Aptos"/>
          <w:sz w:val="20"/>
          <w:szCs w:val="20"/>
        </w:rPr>
      </w:pPr>
    </w:p>
    <w:p w14:paraId="52789AF3" w14:textId="77777777" w:rsidR="00C84FC8" w:rsidRPr="009602DF" w:rsidRDefault="00C84FC8" w:rsidP="00923FA2">
      <w:pPr>
        <w:tabs>
          <w:tab w:val="left" w:pos="5040"/>
        </w:tabs>
        <w:spacing w:after="0"/>
        <w:rPr>
          <w:rFonts w:ascii="Aptos" w:hAnsi="Aptos"/>
          <w:sz w:val="20"/>
          <w:szCs w:val="20"/>
        </w:rPr>
      </w:pPr>
    </w:p>
    <w:p w14:paraId="1BFA1EB6" w14:textId="77777777" w:rsidR="00923FA2" w:rsidRPr="009602DF" w:rsidRDefault="00923FA2" w:rsidP="00923FA2">
      <w:pPr>
        <w:tabs>
          <w:tab w:val="left" w:pos="5040"/>
        </w:tabs>
        <w:spacing w:after="0"/>
        <w:rPr>
          <w:rFonts w:ascii="Aptos" w:hAnsi="Aptos"/>
          <w:sz w:val="20"/>
          <w:szCs w:val="20"/>
          <w:highlight w:val="yellow"/>
        </w:rPr>
      </w:pPr>
      <w:r w:rsidRPr="009602DF">
        <w:rPr>
          <w:rFonts w:ascii="Aptos" w:hAnsi="Aptos"/>
          <w:sz w:val="20"/>
          <w:szCs w:val="20"/>
        </w:rPr>
        <w:t>[</w:t>
      </w:r>
      <w:r w:rsidRPr="009602DF">
        <w:rPr>
          <w:rFonts w:ascii="Aptos" w:hAnsi="Aptos"/>
          <w:sz w:val="20"/>
          <w:szCs w:val="20"/>
          <w:highlight w:val="yellow"/>
        </w:rPr>
        <w:t>Your Name/Name of Representative]</w:t>
      </w:r>
    </w:p>
    <w:p w14:paraId="6578E30A" w14:textId="77777777" w:rsidR="00923FA2" w:rsidRPr="009602DF" w:rsidRDefault="00923FA2" w:rsidP="00923FA2">
      <w:pPr>
        <w:tabs>
          <w:tab w:val="left" w:pos="5040"/>
        </w:tabs>
        <w:spacing w:after="0"/>
        <w:rPr>
          <w:rFonts w:ascii="Aptos" w:hAnsi="Aptos"/>
          <w:sz w:val="20"/>
          <w:szCs w:val="20"/>
          <w:highlight w:val="yellow"/>
        </w:rPr>
      </w:pPr>
      <w:r w:rsidRPr="009602DF">
        <w:rPr>
          <w:rFonts w:ascii="Aptos" w:hAnsi="Aptos"/>
          <w:sz w:val="20"/>
          <w:szCs w:val="20"/>
          <w:highlight w:val="yellow"/>
        </w:rPr>
        <w:t>[Your Title/Relationship to Patient]</w:t>
      </w:r>
    </w:p>
    <w:p w14:paraId="69AAECF1" w14:textId="77777777" w:rsidR="00923FA2" w:rsidRPr="009602DF" w:rsidRDefault="00923FA2" w:rsidP="00923FA2">
      <w:pPr>
        <w:tabs>
          <w:tab w:val="left" w:pos="5040"/>
        </w:tabs>
        <w:spacing w:after="0"/>
        <w:rPr>
          <w:rFonts w:ascii="Aptos" w:hAnsi="Aptos"/>
          <w:sz w:val="20"/>
          <w:szCs w:val="20"/>
          <w:highlight w:val="yellow"/>
        </w:rPr>
      </w:pPr>
      <w:r w:rsidRPr="009602DF">
        <w:rPr>
          <w:rFonts w:ascii="Aptos" w:hAnsi="Aptos"/>
          <w:sz w:val="20"/>
          <w:szCs w:val="20"/>
          <w:highlight w:val="yellow"/>
        </w:rPr>
        <w:t>[Your Organization/Hospital Name]</w:t>
      </w:r>
    </w:p>
    <w:p w14:paraId="30E97635" w14:textId="77777777" w:rsidR="00D65A9D" w:rsidRPr="009602DF" w:rsidRDefault="00923FA2" w:rsidP="00923FA2">
      <w:pPr>
        <w:tabs>
          <w:tab w:val="left" w:pos="5040"/>
        </w:tabs>
        <w:spacing w:after="0"/>
        <w:rPr>
          <w:rFonts w:ascii="Aptos" w:hAnsi="Aptos"/>
          <w:sz w:val="20"/>
          <w:szCs w:val="20"/>
          <w:highlight w:val="yellow"/>
        </w:rPr>
      </w:pPr>
      <w:r w:rsidRPr="009602DF">
        <w:rPr>
          <w:rFonts w:ascii="Aptos" w:hAnsi="Aptos"/>
          <w:sz w:val="20"/>
          <w:szCs w:val="20"/>
          <w:highlight w:val="yellow"/>
        </w:rPr>
        <w:t>[Your Phone Number]</w:t>
      </w:r>
    </w:p>
    <w:p w14:paraId="00A7BF55" w14:textId="3180AFEA" w:rsidR="00923FA2" w:rsidRPr="009602DF" w:rsidRDefault="00923FA2" w:rsidP="00923FA2">
      <w:pPr>
        <w:tabs>
          <w:tab w:val="left" w:pos="5040"/>
        </w:tabs>
        <w:spacing w:after="0"/>
        <w:rPr>
          <w:rFonts w:ascii="Aptos" w:hAnsi="Aptos"/>
          <w:sz w:val="20"/>
          <w:szCs w:val="20"/>
          <w:highlight w:val="yellow"/>
        </w:rPr>
      </w:pPr>
      <w:r w:rsidRPr="009602DF">
        <w:rPr>
          <w:rFonts w:ascii="Aptos" w:hAnsi="Aptos"/>
          <w:sz w:val="20"/>
          <w:szCs w:val="20"/>
          <w:highlight w:val="yellow"/>
        </w:rPr>
        <w:t>[Your Email Address]</w:t>
      </w:r>
    </w:p>
    <w:p w14:paraId="3E63E304" w14:textId="77777777" w:rsidR="00923FA2" w:rsidRDefault="00923FA2" w:rsidP="00923FA2">
      <w:pPr>
        <w:tabs>
          <w:tab w:val="left" w:pos="5040"/>
        </w:tabs>
        <w:spacing w:after="0"/>
        <w:rPr>
          <w:rFonts w:ascii="Aptos" w:hAnsi="Aptos"/>
        </w:rPr>
      </w:pPr>
    </w:p>
    <w:p w14:paraId="5B38789C" w14:textId="77777777" w:rsidR="009602DF" w:rsidRDefault="009602DF" w:rsidP="00923FA2">
      <w:pPr>
        <w:tabs>
          <w:tab w:val="left" w:pos="5040"/>
        </w:tabs>
        <w:spacing w:after="0"/>
        <w:rPr>
          <w:rFonts w:ascii="Aptos" w:hAnsi="Aptos"/>
        </w:rPr>
      </w:pPr>
    </w:p>
    <w:p w14:paraId="30831560" w14:textId="77777777" w:rsidR="009602DF" w:rsidRDefault="009602DF" w:rsidP="00923FA2">
      <w:pPr>
        <w:tabs>
          <w:tab w:val="left" w:pos="5040"/>
        </w:tabs>
        <w:spacing w:after="0"/>
        <w:rPr>
          <w:rFonts w:ascii="Aptos" w:hAnsi="Aptos"/>
        </w:rPr>
      </w:pPr>
    </w:p>
    <w:p w14:paraId="2C0F857B" w14:textId="77777777" w:rsidR="004C39AB" w:rsidRDefault="004C39AB" w:rsidP="00923FA2">
      <w:pPr>
        <w:tabs>
          <w:tab w:val="left" w:pos="5040"/>
        </w:tabs>
        <w:spacing w:after="120"/>
        <w:rPr>
          <w:rFonts w:eastAsia="Calibri"/>
          <w:b/>
          <w:bCs/>
          <w:sz w:val="20"/>
          <w:szCs w:val="20"/>
        </w:rPr>
      </w:pPr>
    </w:p>
    <w:p w14:paraId="1908E0B5" w14:textId="68B6134E" w:rsidR="00923FA2" w:rsidRDefault="00923FA2" w:rsidP="00923FA2">
      <w:pPr>
        <w:tabs>
          <w:tab w:val="left" w:pos="5040"/>
        </w:tabs>
        <w:spacing w:after="120"/>
        <w:rPr>
          <w:rFonts w:eastAsia="Calibri"/>
          <w:b/>
          <w:bCs/>
          <w:sz w:val="20"/>
          <w:szCs w:val="20"/>
        </w:rPr>
      </w:pPr>
      <w:r w:rsidRPr="00284006">
        <w:rPr>
          <w:rFonts w:eastAsia="Calibri"/>
          <w:b/>
          <w:bCs/>
          <w:sz w:val="20"/>
          <w:szCs w:val="20"/>
        </w:rPr>
        <w:lastRenderedPageBreak/>
        <w:t>References</w:t>
      </w:r>
    </w:p>
    <w:p w14:paraId="04A12CF1" w14:textId="77777777" w:rsidR="00923FA2" w:rsidRPr="00C20245" w:rsidRDefault="00923FA2" w:rsidP="00923FA2">
      <w:pPr>
        <w:tabs>
          <w:tab w:val="left" w:pos="5040"/>
        </w:tabs>
        <w:spacing w:after="120"/>
        <w:rPr>
          <w:rFonts w:eastAsia="Calibri"/>
          <w:sz w:val="20"/>
          <w:szCs w:val="20"/>
        </w:rPr>
      </w:pPr>
      <w:r>
        <w:rPr>
          <w:rFonts w:eastAsia="Calibri"/>
          <w:sz w:val="20"/>
          <w:szCs w:val="20"/>
          <w:u w:val="single"/>
        </w:rPr>
        <w:t>FDA Approval and CMS Coverage</w:t>
      </w:r>
      <w:r>
        <w:rPr>
          <w:rFonts w:eastAsia="Calibri"/>
          <w:sz w:val="20"/>
          <w:szCs w:val="20"/>
        </w:rPr>
        <w:t>:</w:t>
      </w:r>
    </w:p>
    <w:p w14:paraId="3645BAF8" w14:textId="77777777" w:rsidR="00923FA2" w:rsidRPr="00284006" w:rsidRDefault="00923FA2" w:rsidP="00923FA2">
      <w:pPr>
        <w:spacing w:after="120"/>
        <w:rPr>
          <w:rFonts w:eastAsia="Calibri"/>
          <w:sz w:val="20"/>
          <w:szCs w:val="20"/>
        </w:rPr>
      </w:pPr>
      <w:r w:rsidRPr="00284006">
        <w:rPr>
          <w:rFonts w:eastAsia="Calibri"/>
          <w:sz w:val="20"/>
          <w:szCs w:val="20"/>
        </w:rPr>
        <w:t xml:space="preserve">510(k) Premarket Notifications (ENROUTE </w:t>
      </w:r>
      <w:proofErr w:type="spellStart"/>
      <w:r w:rsidRPr="00284006">
        <w:rPr>
          <w:rFonts w:eastAsia="Calibri"/>
          <w:sz w:val="20"/>
          <w:szCs w:val="20"/>
        </w:rPr>
        <w:t>Transcarotid</w:t>
      </w:r>
      <w:proofErr w:type="spellEnd"/>
      <w:r w:rsidRPr="00284006">
        <w:rPr>
          <w:rFonts w:eastAsia="Calibri"/>
          <w:sz w:val="20"/>
          <w:szCs w:val="20"/>
        </w:rPr>
        <w:t xml:space="preserve"> Neuroprotection System). Fda.gov. </w:t>
      </w:r>
      <w:hyperlink r:id="rId18" w:history="1">
        <w:r w:rsidRPr="005D7905">
          <w:rPr>
            <w:rStyle w:val="Hyperlink"/>
            <w:rFonts w:eastAsia="Calibri"/>
            <w:sz w:val="20"/>
            <w:szCs w:val="20"/>
          </w:rPr>
          <w:t>https://www.accessdata.fda.gov/scripts/cdrh/cfdocs/cfpmn/pmn.cfm?ID=K230402</w:t>
        </w:r>
      </w:hyperlink>
      <w:r w:rsidRPr="00284006">
        <w:rPr>
          <w:rFonts w:eastAsia="Calibri"/>
          <w:sz w:val="20"/>
          <w:szCs w:val="20"/>
        </w:rPr>
        <w:t>,</w:t>
      </w:r>
      <w:r>
        <w:rPr>
          <w:rFonts w:eastAsia="Calibri"/>
          <w:sz w:val="20"/>
          <w:szCs w:val="20"/>
        </w:rPr>
        <w:t xml:space="preserve"> </w:t>
      </w:r>
      <w:r w:rsidRPr="00284006">
        <w:rPr>
          <w:rFonts w:eastAsia="Calibri"/>
          <w:sz w:val="20"/>
          <w:szCs w:val="20"/>
        </w:rPr>
        <w:t xml:space="preserve"> </w:t>
      </w:r>
      <w:hyperlink r:id="rId19" w:history="1">
        <w:r w:rsidRPr="005D7905">
          <w:rPr>
            <w:rStyle w:val="Hyperlink"/>
            <w:rFonts w:eastAsia="Calibri"/>
            <w:sz w:val="20"/>
            <w:szCs w:val="20"/>
          </w:rPr>
          <w:t>https://www.accessdata.fda.gov/scripts/cdrh/cfdocs/cfpmn/pmn.cfm?ID=K153485</w:t>
        </w:r>
      </w:hyperlink>
      <w:r w:rsidRPr="00284006">
        <w:rPr>
          <w:rFonts w:eastAsia="Calibri"/>
          <w:sz w:val="20"/>
          <w:szCs w:val="20"/>
        </w:rPr>
        <w:t>,</w:t>
      </w:r>
      <w:r>
        <w:rPr>
          <w:rFonts w:eastAsia="Calibri"/>
          <w:sz w:val="20"/>
          <w:szCs w:val="20"/>
        </w:rPr>
        <w:t xml:space="preserve"> </w:t>
      </w:r>
      <w:r w:rsidRPr="00284006">
        <w:rPr>
          <w:rFonts w:eastAsia="Calibri"/>
          <w:sz w:val="20"/>
          <w:szCs w:val="20"/>
        </w:rPr>
        <w:t xml:space="preserve"> </w:t>
      </w:r>
      <w:hyperlink r:id="rId20" w:history="1">
        <w:r w:rsidRPr="005D7905">
          <w:rPr>
            <w:rStyle w:val="Hyperlink"/>
            <w:rFonts w:eastAsia="Calibri"/>
            <w:sz w:val="20"/>
            <w:szCs w:val="20"/>
          </w:rPr>
          <w:t>https://www.accessdata.fda.gov/scripts/cdrh/cfdocs/cfpmn/pmn.cfm?ID=K143072</w:t>
        </w:r>
      </w:hyperlink>
      <w:r>
        <w:rPr>
          <w:rFonts w:eastAsia="Calibri"/>
          <w:sz w:val="20"/>
          <w:szCs w:val="20"/>
        </w:rPr>
        <w:t xml:space="preserve"> </w:t>
      </w:r>
    </w:p>
    <w:p w14:paraId="2C229662" w14:textId="77777777" w:rsidR="00923FA2" w:rsidRPr="00284006" w:rsidRDefault="00923FA2" w:rsidP="00923FA2">
      <w:pPr>
        <w:spacing w:after="120"/>
        <w:rPr>
          <w:rFonts w:eastAsia="Calibri"/>
          <w:sz w:val="20"/>
          <w:szCs w:val="20"/>
        </w:rPr>
      </w:pPr>
      <w:r w:rsidRPr="00284006">
        <w:rPr>
          <w:rFonts w:eastAsia="Calibri"/>
          <w:sz w:val="20"/>
          <w:szCs w:val="20"/>
        </w:rPr>
        <w:t xml:space="preserve">Premarket Approval (PMA) (ENROUTE </w:t>
      </w:r>
      <w:proofErr w:type="spellStart"/>
      <w:r w:rsidRPr="00284006">
        <w:rPr>
          <w:rFonts w:eastAsia="Calibri"/>
          <w:sz w:val="20"/>
          <w:szCs w:val="20"/>
        </w:rPr>
        <w:t>Transcarotid</w:t>
      </w:r>
      <w:proofErr w:type="spellEnd"/>
      <w:r w:rsidRPr="00284006">
        <w:rPr>
          <w:rFonts w:eastAsia="Calibri"/>
          <w:sz w:val="20"/>
          <w:szCs w:val="20"/>
        </w:rPr>
        <w:t xml:space="preserve"> Stent System). Fda.gov. </w:t>
      </w:r>
      <w:hyperlink r:id="rId21" w:history="1">
        <w:r w:rsidRPr="005D7905">
          <w:rPr>
            <w:rStyle w:val="Hyperlink"/>
            <w:rFonts w:eastAsia="Calibri"/>
            <w:sz w:val="20"/>
            <w:szCs w:val="20"/>
          </w:rPr>
          <w:t>https://www.accessdata.fda.gov/scripts/cdrh/cfdocs/cfpma/pma.cfm?id=P140026</w:t>
        </w:r>
      </w:hyperlink>
      <w:r>
        <w:rPr>
          <w:rFonts w:eastAsia="Calibri"/>
          <w:sz w:val="20"/>
          <w:szCs w:val="20"/>
        </w:rPr>
        <w:t xml:space="preserve"> </w:t>
      </w:r>
    </w:p>
    <w:p w14:paraId="45F002B8" w14:textId="77777777" w:rsidR="00923FA2" w:rsidRPr="00284006" w:rsidRDefault="00923FA2" w:rsidP="00923FA2">
      <w:pPr>
        <w:tabs>
          <w:tab w:val="left" w:pos="5040"/>
        </w:tabs>
        <w:spacing w:after="120"/>
        <w:rPr>
          <w:rFonts w:eastAsia="Calibri"/>
          <w:sz w:val="20"/>
          <w:szCs w:val="20"/>
        </w:rPr>
      </w:pPr>
      <w:r w:rsidRPr="00284006">
        <w:rPr>
          <w:rFonts w:eastAsia="Calibri"/>
          <w:sz w:val="20"/>
          <w:szCs w:val="20"/>
        </w:rPr>
        <w:t xml:space="preserve">NCD - Percutaneous Transluminal Angioplasty (PTA) (20.7). Cms.gov. </w:t>
      </w:r>
      <w:hyperlink r:id="rId22" w:history="1">
        <w:r w:rsidRPr="005D7905">
          <w:rPr>
            <w:rStyle w:val="Hyperlink"/>
            <w:rFonts w:eastAsia="Calibri"/>
            <w:sz w:val="20"/>
            <w:szCs w:val="20"/>
          </w:rPr>
          <w:t>https://www.cms.gov/medicare-coverage-database/view/ncd.aspx?NCDId=201</w:t>
        </w:r>
      </w:hyperlink>
      <w:r>
        <w:rPr>
          <w:rFonts w:eastAsia="Calibri"/>
          <w:sz w:val="20"/>
          <w:szCs w:val="20"/>
        </w:rPr>
        <w:t xml:space="preserve"> </w:t>
      </w:r>
    </w:p>
    <w:p w14:paraId="23A533DF" w14:textId="77777777" w:rsidR="00923FA2" w:rsidRPr="00284006" w:rsidRDefault="00923FA2" w:rsidP="00923FA2">
      <w:pPr>
        <w:tabs>
          <w:tab w:val="left" w:pos="5040"/>
        </w:tabs>
        <w:spacing w:after="120"/>
        <w:rPr>
          <w:rFonts w:eastAsia="Calibri"/>
          <w:sz w:val="20"/>
          <w:szCs w:val="20"/>
        </w:rPr>
      </w:pPr>
      <w:r w:rsidRPr="00284006">
        <w:rPr>
          <w:rFonts w:eastAsia="Calibri"/>
          <w:sz w:val="20"/>
          <w:szCs w:val="20"/>
        </w:rPr>
        <w:t xml:space="preserve">NCA - Percutaneous Transluminal Angioplasty (PTA) of the Carotid Artery Concurrent with Stenting (CAG-00085R8) - Decision Memo. Cms.gov. </w:t>
      </w:r>
      <w:hyperlink r:id="rId23" w:history="1">
        <w:r w:rsidRPr="005D7905">
          <w:rPr>
            <w:rStyle w:val="Hyperlink"/>
            <w:rFonts w:eastAsia="Calibri"/>
            <w:sz w:val="20"/>
            <w:szCs w:val="20"/>
          </w:rPr>
          <w:t>https://www.cms.gov/medicare-coverage-database/view/ncacal-decision-memo.aspx?proposed=N&amp;ncaid=311</w:t>
        </w:r>
      </w:hyperlink>
      <w:r>
        <w:rPr>
          <w:rFonts w:eastAsia="Calibri"/>
          <w:sz w:val="20"/>
          <w:szCs w:val="20"/>
        </w:rPr>
        <w:t xml:space="preserve"> </w:t>
      </w:r>
    </w:p>
    <w:p w14:paraId="13C3C27D" w14:textId="77777777" w:rsidR="00923FA2" w:rsidRDefault="00923FA2" w:rsidP="00923FA2">
      <w:pPr>
        <w:tabs>
          <w:tab w:val="left" w:pos="5040"/>
        </w:tabs>
        <w:spacing w:after="120"/>
        <w:rPr>
          <w:rFonts w:eastAsia="Calibri"/>
          <w:sz w:val="20"/>
          <w:szCs w:val="20"/>
        </w:rPr>
      </w:pPr>
    </w:p>
    <w:p w14:paraId="5808EC08" w14:textId="77777777" w:rsidR="00923FA2" w:rsidRPr="00C20245" w:rsidRDefault="00923FA2" w:rsidP="00923FA2">
      <w:pPr>
        <w:tabs>
          <w:tab w:val="left" w:pos="5040"/>
        </w:tabs>
        <w:spacing w:after="120"/>
        <w:rPr>
          <w:rFonts w:eastAsia="Calibri"/>
          <w:sz w:val="20"/>
          <w:szCs w:val="20"/>
        </w:rPr>
      </w:pPr>
      <w:r>
        <w:rPr>
          <w:rFonts w:eastAsia="Calibri"/>
          <w:sz w:val="20"/>
          <w:szCs w:val="20"/>
          <w:u w:val="single"/>
        </w:rPr>
        <w:t>Clinical Studies of Safety and Effectiveness versus Alternative Procedures</w:t>
      </w:r>
      <w:r>
        <w:rPr>
          <w:rFonts w:eastAsia="Calibri"/>
          <w:sz w:val="20"/>
          <w:szCs w:val="20"/>
        </w:rPr>
        <w:t>:</w:t>
      </w:r>
    </w:p>
    <w:p w14:paraId="6953D8B4" w14:textId="77777777" w:rsidR="00923FA2" w:rsidRPr="00284006" w:rsidRDefault="00923FA2" w:rsidP="00923FA2">
      <w:pPr>
        <w:tabs>
          <w:tab w:val="left" w:pos="5040"/>
        </w:tabs>
        <w:spacing w:after="120"/>
        <w:rPr>
          <w:rFonts w:eastAsia="Calibri"/>
          <w:sz w:val="20"/>
          <w:szCs w:val="20"/>
        </w:rPr>
      </w:pPr>
      <w:r w:rsidRPr="00284006">
        <w:rPr>
          <w:rFonts w:eastAsia="Calibri"/>
          <w:sz w:val="20"/>
          <w:szCs w:val="20"/>
        </w:rPr>
        <w:t xml:space="preserve">Pinter L, Ribo M, Loh C, et al. Safety and feasibility of a novel transcervical access neuroprotection system for carotid artery stenting in the PROOF Study. J </w:t>
      </w:r>
      <w:proofErr w:type="spellStart"/>
      <w:r w:rsidRPr="00284006">
        <w:rPr>
          <w:rFonts w:eastAsia="Calibri"/>
          <w:sz w:val="20"/>
          <w:szCs w:val="20"/>
        </w:rPr>
        <w:t>Vasc</w:t>
      </w:r>
      <w:proofErr w:type="spellEnd"/>
      <w:r w:rsidRPr="00284006">
        <w:rPr>
          <w:rFonts w:eastAsia="Calibri"/>
          <w:sz w:val="20"/>
          <w:szCs w:val="20"/>
        </w:rPr>
        <w:t xml:space="preserve"> Surg. 2011;54(5):1317-1323. doi:10.1016/j.jvs.2011.04.040</w:t>
      </w:r>
    </w:p>
    <w:p w14:paraId="50AD5D83" w14:textId="77777777" w:rsidR="00923FA2" w:rsidRPr="00284006" w:rsidRDefault="00923FA2" w:rsidP="00923FA2">
      <w:pPr>
        <w:spacing w:after="120"/>
        <w:rPr>
          <w:rFonts w:eastAsia="Calibri"/>
          <w:sz w:val="20"/>
          <w:szCs w:val="20"/>
        </w:rPr>
      </w:pPr>
      <w:r w:rsidRPr="00284006">
        <w:rPr>
          <w:rFonts w:eastAsia="Calibri"/>
          <w:sz w:val="20"/>
          <w:szCs w:val="20"/>
        </w:rPr>
        <w:t xml:space="preserve">Kwolek CJ, Jaff MR, Leal JI, et al. Results of the ROADSTER multicenter trial of </w:t>
      </w:r>
      <w:proofErr w:type="spellStart"/>
      <w:r w:rsidRPr="00284006">
        <w:rPr>
          <w:rFonts w:eastAsia="Calibri"/>
          <w:sz w:val="20"/>
          <w:szCs w:val="20"/>
        </w:rPr>
        <w:t>transcarotid</w:t>
      </w:r>
      <w:proofErr w:type="spellEnd"/>
      <w:r w:rsidRPr="00284006">
        <w:rPr>
          <w:rFonts w:eastAsia="Calibri"/>
          <w:sz w:val="20"/>
          <w:szCs w:val="20"/>
        </w:rPr>
        <w:t xml:space="preserve"> stenting with dynamic flow reversal. J </w:t>
      </w:r>
      <w:proofErr w:type="spellStart"/>
      <w:r w:rsidRPr="00284006">
        <w:rPr>
          <w:rFonts w:eastAsia="Calibri"/>
          <w:sz w:val="20"/>
          <w:szCs w:val="20"/>
        </w:rPr>
        <w:t>Vasc</w:t>
      </w:r>
      <w:proofErr w:type="spellEnd"/>
      <w:r w:rsidRPr="00284006">
        <w:rPr>
          <w:rFonts w:eastAsia="Calibri"/>
          <w:sz w:val="20"/>
          <w:szCs w:val="20"/>
        </w:rPr>
        <w:t xml:space="preserve"> Surg. 2015;62(5):1227-1234. doi:10.1016/j.jvs.2015.04.460</w:t>
      </w:r>
    </w:p>
    <w:p w14:paraId="25E9488D" w14:textId="77777777" w:rsidR="00923FA2" w:rsidRPr="00284006" w:rsidRDefault="00923FA2" w:rsidP="00923FA2">
      <w:pPr>
        <w:spacing w:after="120"/>
        <w:rPr>
          <w:rFonts w:eastAsia="Calibri"/>
          <w:sz w:val="20"/>
          <w:szCs w:val="20"/>
        </w:rPr>
      </w:pPr>
      <w:r w:rsidRPr="00284006">
        <w:rPr>
          <w:rFonts w:eastAsia="Calibri"/>
          <w:sz w:val="20"/>
          <w:szCs w:val="20"/>
          <w:lang w:val="fr-FR"/>
        </w:rPr>
        <w:t xml:space="preserve">Kashyap VS, Schneider PA, </w:t>
      </w:r>
      <w:proofErr w:type="spellStart"/>
      <w:r w:rsidRPr="00284006">
        <w:rPr>
          <w:rFonts w:eastAsia="Calibri"/>
          <w:sz w:val="20"/>
          <w:szCs w:val="20"/>
          <w:lang w:val="fr-FR"/>
        </w:rPr>
        <w:t>Foteh</w:t>
      </w:r>
      <w:proofErr w:type="spellEnd"/>
      <w:r w:rsidRPr="00284006">
        <w:rPr>
          <w:rFonts w:eastAsia="Calibri"/>
          <w:sz w:val="20"/>
          <w:szCs w:val="20"/>
          <w:lang w:val="fr-FR"/>
        </w:rPr>
        <w:t xml:space="preserve"> M, et al. </w:t>
      </w:r>
      <w:r w:rsidRPr="00284006">
        <w:rPr>
          <w:rFonts w:eastAsia="Calibri"/>
          <w:sz w:val="20"/>
          <w:szCs w:val="20"/>
        </w:rPr>
        <w:t xml:space="preserve">Early Outcomes in the ROADSTER 2 Study of </w:t>
      </w:r>
      <w:proofErr w:type="spellStart"/>
      <w:r w:rsidRPr="00284006">
        <w:rPr>
          <w:rFonts w:eastAsia="Calibri"/>
          <w:sz w:val="20"/>
          <w:szCs w:val="20"/>
        </w:rPr>
        <w:t>Transcarotid</w:t>
      </w:r>
      <w:proofErr w:type="spellEnd"/>
      <w:r w:rsidRPr="00284006">
        <w:rPr>
          <w:rFonts w:eastAsia="Calibri"/>
          <w:sz w:val="20"/>
          <w:szCs w:val="20"/>
        </w:rPr>
        <w:t xml:space="preserve"> Artery Revascularization in Patients </w:t>
      </w:r>
      <w:proofErr w:type="gramStart"/>
      <w:r w:rsidRPr="00284006">
        <w:rPr>
          <w:rFonts w:eastAsia="Calibri"/>
          <w:sz w:val="20"/>
          <w:szCs w:val="20"/>
        </w:rPr>
        <w:t>With</w:t>
      </w:r>
      <w:proofErr w:type="gramEnd"/>
      <w:r w:rsidRPr="00284006">
        <w:rPr>
          <w:rFonts w:eastAsia="Calibri"/>
          <w:sz w:val="20"/>
          <w:szCs w:val="20"/>
        </w:rPr>
        <w:t xml:space="preserve"> Significant Carotid Artery Disease. Stroke. 2020;51(9):2620-2629. doi:10.1161/STROKEAHA.120.030550</w:t>
      </w:r>
    </w:p>
    <w:p w14:paraId="01911A86" w14:textId="77777777" w:rsidR="00923FA2" w:rsidRPr="00284006" w:rsidRDefault="00923FA2" w:rsidP="00923FA2">
      <w:pPr>
        <w:spacing w:after="120"/>
        <w:rPr>
          <w:rFonts w:eastAsia="Calibri"/>
          <w:sz w:val="20"/>
          <w:szCs w:val="20"/>
        </w:rPr>
      </w:pPr>
      <w:r w:rsidRPr="00284006">
        <w:rPr>
          <w:rFonts w:eastAsia="Calibri"/>
          <w:sz w:val="20"/>
          <w:szCs w:val="20"/>
        </w:rPr>
        <w:t xml:space="preserve">Liang P, Cronenwett JL, </w:t>
      </w:r>
      <w:proofErr w:type="spellStart"/>
      <w:r w:rsidRPr="00284006">
        <w:rPr>
          <w:rFonts w:eastAsia="Calibri"/>
          <w:sz w:val="20"/>
          <w:szCs w:val="20"/>
        </w:rPr>
        <w:t>Secemsky</w:t>
      </w:r>
      <w:proofErr w:type="spellEnd"/>
      <w:r w:rsidRPr="00284006">
        <w:rPr>
          <w:rFonts w:eastAsia="Calibri"/>
          <w:sz w:val="20"/>
          <w:szCs w:val="20"/>
        </w:rPr>
        <w:t xml:space="preserve"> EA, et al. Risk of Stroke, Death, and Myocardial Infarction Following </w:t>
      </w:r>
      <w:proofErr w:type="spellStart"/>
      <w:r w:rsidRPr="00284006">
        <w:rPr>
          <w:rFonts w:eastAsia="Calibri"/>
          <w:sz w:val="20"/>
          <w:szCs w:val="20"/>
        </w:rPr>
        <w:t>Transcarotid</w:t>
      </w:r>
      <w:proofErr w:type="spellEnd"/>
      <w:r w:rsidRPr="00284006">
        <w:rPr>
          <w:rFonts w:eastAsia="Calibri"/>
          <w:sz w:val="20"/>
          <w:szCs w:val="20"/>
        </w:rPr>
        <w:t xml:space="preserve"> Artery Revascularization vs Carotid Endarterectomy in Patients </w:t>
      </w:r>
      <w:proofErr w:type="gramStart"/>
      <w:r w:rsidRPr="00284006">
        <w:rPr>
          <w:rFonts w:eastAsia="Calibri"/>
          <w:sz w:val="20"/>
          <w:szCs w:val="20"/>
        </w:rPr>
        <w:t>With</w:t>
      </w:r>
      <w:proofErr w:type="gramEnd"/>
      <w:r w:rsidRPr="00284006">
        <w:rPr>
          <w:rFonts w:eastAsia="Calibri"/>
          <w:sz w:val="20"/>
          <w:szCs w:val="20"/>
        </w:rPr>
        <w:t xml:space="preserve"> Standard Surgical Risk. JAMA Neurol. 2023;80(5):437-444. doi:10.1001/jamaneurol.2023.0285</w:t>
      </w:r>
    </w:p>
    <w:p w14:paraId="36B33D3A" w14:textId="77777777" w:rsidR="00923FA2" w:rsidRPr="00284006" w:rsidRDefault="00923FA2" w:rsidP="00923FA2">
      <w:pPr>
        <w:tabs>
          <w:tab w:val="left" w:pos="5040"/>
        </w:tabs>
        <w:spacing w:after="120"/>
        <w:rPr>
          <w:rFonts w:eastAsia="Calibri"/>
          <w:sz w:val="20"/>
          <w:szCs w:val="20"/>
        </w:rPr>
      </w:pPr>
      <w:r w:rsidRPr="00284006">
        <w:rPr>
          <w:rFonts w:eastAsia="Calibri"/>
          <w:sz w:val="20"/>
          <w:szCs w:val="20"/>
        </w:rPr>
        <w:t xml:space="preserve">Caron E, Van Galen I, Darling JD, et al. Comparative outcomes of transfemoral carotid artery stenting versus carotid endarterectomy versus </w:t>
      </w:r>
      <w:proofErr w:type="spellStart"/>
      <w:r w:rsidRPr="00284006">
        <w:rPr>
          <w:rFonts w:eastAsia="Calibri"/>
          <w:sz w:val="20"/>
          <w:szCs w:val="20"/>
        </w:rPr>
        <w:t>transcarotid</w:t>
      </w:r>
      <w:proofErr w:type="spellEnd"/>
      <w:r w:rsidRPr="00284006">
        <w:rPr>
          <w:rFonts w:eastAsia="Calibri"/>
          <w:sz w:val="20"/>
          <w:szCs w:val="20"/>
        </w:rPr>
        <w:t xml:space="preserve"> artery revascularization in standard- and high-risk patients since the CMS decision in October 2023 using the VQI. J </w:t>
      </w:r>
      <w:proofErr w:type="spellStart"/>
      <w:r w:rsidRPr="00284006">
        <w:rPr>
          <w:rFonts w:eastAsia="Calibri"/>
          <w:sz w:val="20"/>
          <w:szCs w:val="20"/>
        </w:rPr>
        <w:t>Vasc</w:t>
      </w:r>
      <w:proofErr w:type="spellEnd"/>
      <w:r w:rsidRPr="00284006">
        <w:rPr>
          <w:rFonts w:eastAsia="Calibri"/>
          <w:sz w:val="20"/>
          <w:szCs w:val="20"/>
        </w:rPr>
        <w:t xml:space="preserve"> Surg. Published online August 22, 2025. doi:10.1016/j.jvs.2025.08.021</w:t>
      </w:r>
    </w:p>
    <w:p w14:paraId="1540BCE8" w14:textId="77777777" w:rsidR="00923FA2" w:rsidRPr="00284006" w:rsidRDefault="00923FA2" w:rsidP="00923FA2">
      <w:pPr>
        <w:tabs>
          <w:tab w:val="left" w:pos="5040"/>
        </w:tabs>
        <w:spacing w:after="120"/>
        <w:rPr>
          <w:rFonts w:eastAsia="Calibri"/>
          <w:sz w:val="20"/>
          <w:szCs w:val="20"/>
        </w:rPr>
      </w:pPr>
      <w:r w:rsidRPr="00284006">
        <w:rPr>
          <w:rFonts w:eastAsia="Calibri"/>
          <w:sz w:val="20"/>
          <w:szCs w:val="20"/>
        </w:rPr>
        <w:t xml:space="preserve">Ramsay IA, Burks JD, Lu VM, et al. Perioperative Outcomes in </w:t>
      </w:r>
      <w:proofErr w:type="spellStart"/>
      <w:r w:rsidRPr="00284006">
        <w:rPr>
          <w:rFonts w:eastAsia="Calibri"/>
          <w:sz w:val="20"/>
          <w:szCs w:val="20"/>
        </w:rPr>
        <w:t>Transcarotid</w:t>
      </w:r>
      <w:proofErr w:type="spellEnd"/>
      <w:r w:rsidRPr="00284006">
        <w:rPr>
          <w:rFonts w:eastAsia="Calibri"/>
          <w:sz w:val="20"/>
          <w:szCs w:val="20"/>
        </w:rPr>
        <w:t xml:space="preserve"> Artery Revascularization Versus Carotid Endarterectomy or Stenting Nationwide. Oper </w:t>
      </w:r>
      <w:proofErr w:type="spellStart"/>
      <w:r w:rsidRPr="00284006">
        <w:rPr>
          <w:rFonts w:eastAsia="Calibri"/>
          <w:sz w:val="20"/>
          <w:szCs w:val="20"/>
        </w:rPr>
        <w:t>Neurosurg</w:t>
      </w:r>
      <w:proofErr w:type="spellEnd"/>
      <w:r w:rsidRPr="00284006">
        <w:rPr>
          <w:rFonts w:eastAsia="Calibri"/>
          <w:sz w:val="20"/>
          <w:szCs w:val="20"/>
        </w:rPr>
        <w:t>. 2023;25(5):453-460. doi:10.1227/ons.0000000000000865</w:t>
      </w:r>
    </w:p>
    <w:p w14:paraId="6F9BBF42" w14:textId="77777777" w:rsidR="00923FA2" w:rsidRPr="00284006" w:rsidRDefault="00923FA2" w:rsidP="00923FA2">
      <w:pPr>
        <w:tabs>
          <w:tab w:val="left" w:pos="5040"/>
        </w:tabs>
        <w:spacing w:after="120"/>
        <w:rPr>
          <w:rFonts w:eastAsia="Calibri"/>
          <w:sz w:val="20"/>
          <w:szCs w:val="20"/>
        </w:rPr>
      </w:pPr>
      <w:r w:rsidRPr="00284006">
        <w:rPr>
          <w:rFonts w:eastAsia="Calibri"/>
          <w:sz w:val="20"/>
          <w:szCs w:val="20"/>
        </w:rPr>
        <w:t xml:space="preserve">Zhu J, Rao A, Berger K, et al. Determinants of Mortality and Mid-Term Outcomes After </w:t>
      </w:r>
      <w:proofErr w:type="spellStart"/>
      <w:r w:rsidRPr="00284006">
        <w:rPr>
          <w:rFonts w:eastAsia="Calibri"/>
          <w:sz w:val="20"/>
          <w:szCs w:val="20"/>
        </w:rPr>
        <w:t>Transcarotid</w:t>
      </w:r>
      <w:proofErr w:type="spellEnd"/>
      <w:r w:rsidRPr="00284006">
        <w:rPr>
          <w:rFonts w:eastAsia="Calibri"/>
          <w:sz w:val="20"/>
          <w:szCs w:val="20"/>
        </w:rPr>
        <w:t xml:space="preserve"> Artery Revascularization and Transfemoral Carotid Artery Stenting. J </w:t>
      </w:r>
      <w:proofErr w:type="spellStart"/>
      <w:r w:rsidRPr="00284006">
        <w:rPr>
          <w:rFonts w:eastAsia="Calibri"/>
          <w:sz w:val="20"/>
          <w:szCs w:val="20"/>
        </w:rPr>
        <w:t>Endovasc</w:t>
      </w:r>
      <w:proofErr w:type="spellEnd"/>
      <w:r w:rsidRPr="00284006">
        <w:rPr>
          <w:rFonts w:eastAsia="Calibri"/>
          <w:sz w:val="20"/>
          <w:szCs w:val="20"/>
        </w:rPr>
        <w:t xml:space="preserve"> Ther. Published online March 6, 2024. doi:10.1177/15266028241235791</w:t>
      </w:r>
    </w:p>
    <w:p w14:paraId="450542E8" w14:textId="77777777" w:rsidR="00923FA2" w:rsidRDefault="00923FA2" w:rsidP="00923FA2">
      <w:pPr>
        <w:tabs>
          <w:tab w:val="left" w:pos="5040"/>
        </w:tabs>
        <w:spacing w:after="120"/>
        <w:rPr>
          <w:rFonts w:eastAsia="Calibri"/>
          <w:sz w:val="20"/>
          <w:szCs w:val="20"/>
        </w:rPr>
      </w:pPr>
      <w:r w:rsidRPr="00F30944">
        <w:rPr>
          <w:rFonts w:eastAsia="Calibri"/>
          <w:sz w:val="20"/>
          <w:szCs w:val="20"/>
        </w:rPr>
        <w:t>Columbo JA, Martinez-</w:t>
      </w:r>
      <w:proofErr w:type="spellStart"/>
      <w:r w:rsidRPr="00F30944">
        <w:rPr>
          <w:rFonts w:eastAsia="Calibri"/>
          <w:sz w:val="20"/>
          <w:szCs w:val="20"/>
        </w:rPr>
        <w:t>Camblor</w:t>
      </w:r>
      <w:proofErr w:type="spellEnd"/>
      <w:r w:rsidRPr="00F30944">
        <w:rPr>
          <w:rFonts w:eastAsia="Calibri"/>
          <w:sz w:val="20"/>
          <w:szCs w:val="20"/>
        </w:rPr>
        <w:t xml:space="preserve"> P, Stone DH, et al. Three-year risk of stroke after </w:t>
      </w:r>
      <w:proofErr w:type="spellStart"/>
      <w:r w:rsidRPr="00F30944">
        <w:rPr>
          <w:rFonts w:eastAsia="Calibri"/>
          <w:sz w:val="20"/>
          <w:szCs w:val="20"/>
        </w:rPr>
        <w:t>transcarotid</w:t>
      </w:r>
      <w:proofErr w:type="spellEnd"/>
      <w:r w:rsidRPr="00F30944">
        <w:rPr>
          <w:rFonts w:eastAsia="Calibri"/>
          <w:sz w:val="20"/>
          <w:szCs w:val="20"/>
        </w:rPr>
        <w:t xml:space="preserve"> artery revascularization versus carotid endarterectomy among Medicare beneficiaries. J </w:t>
      </w:r>
      <w:proofErr w:type="spellStart"/>
      <w:r w:rsidRPr="00F30944">
        <w:rPr>
          <w:rFonts w:eastAsia="Calibri"/>
          <w:sz w:val="20"/>
          <w:szCs w:val="20"/>
        </w:rPr>
        <w:t>Vasc</w:t>
      </w:r>
      <w:proofErr w:type="spellEnd"/>
      <w:r w:rsidRPr="00F30944">
        <w:rPr>
          <w:rFonts w:eastAsia="Calibri"/>
          <w:sz w:val="20"/>
          <w:szCs w:val="20"/>
        </w:rPr>
        <w:t xml:space="preserve"> Surg. Published online 2025. Doi:10.1016/j.jvs.2025.06.052</w:t>
      </w:r>
    </w:p>
    <w:p w14:paraId="75E4A8E7" w14:textId="77777777" w:rsidR="00923FA2" w:rsidRDefault="00923FA2" w:rsidP="00923FA2">
      <w:pPr>
        <w:tabs>
          <w:tab w:val="left" w:pos="5040"/>
        </w:tabs>
        <w:spacing w:after="120"/>
        <w:rPr>
          <w:rFonts w:eastAsia="Calibri"/>
          <w:sz w:val="20"/>
          <w:szCs w:val="20"/>
        </w:rPr>
      </w:pPr>
      <w:r w:rsidRPr="00284006">
        <w:rPr>
          <w:rFonts w:eastAsia="Calibri"/>
          <w:sz w:val="20"/>
          <w:szCs w:val="20"/>
        </w:rPr>
        <w:t>Columbo JA, Stone DH, Martinez-</w:t>
      </w:r>
      <w:proofErr w:type="spellStart"/>
      <w:r w:rsidRPr="00284006">
        <w:rPr>
          <w:rFonts w:eastAsia="Calibri"/>
          <w:sz w:val="20"/>
          <w:szCs w:val="20"/>
        </w:rPr>
        <w:t>Camblor</w:t>
      </w:r>
      <w:proofErr w:type="spellEnd"/>
      <w:r w:rsidRPr="00284006">
        <w:rPr>
          <w:rFonts w:eastAsia="Calibri"/>
          <w:sz w:val="20"/>
          <w:szCs w:val="20"/>
        </w:rPr>
        <w:t xml:space="preserve"> P, Goodney PP, O’Malley AJ. Adoption and Diffusion of </w:t>
      </w:r>
      <w:proofErr w:type="spellStart"/>
      <w:r w:rsidRPr="00284006">
        <w:rPr>
          <w:rFonts w:eastAsia="Calibri"/>
          <w:sz w:val="20"/>
          <w:szCs w:val="20"/>
        </w:rPr>
        <w:t>Transcarotid</w:t>
      </w:r>
      <w:proofErr w:type="spellEnd"/>
      <w:r w:rsidRPr="00284006">
        <w:rPr>
          <w:rFonts w:eastAsia="Calibri"/>
          <w:sz w:val="20"/>
          <w:szCs w:val="20"/>
        </w:rPr>
        <w:t xml:space="preserve"> Artery Revascularization in Contemporary Practice. Circ: Cardiovasc </w:t>
      </w:r>
      <w:proofErr w:type="spellStart"/>
      <w:r w:rsidRPr="00284006">
        <w:rPr>
          <w:rFonts w:eastAsia="Calibri"/>
          <w:sz w:val="20"/>
          <w:szCs w:val="20"/>
        </w:rPr>
        <w:t>Interv</w:t>
      </w:r>
      <w:proofErr w:type="spellEnd"/>
      <w:r w:rsidRPr="00284006">
        <w:rPr>
          <w:rFonts w:eastAsia="Calibri"/>
          <w:sz w:val="20"/>
          <w:szCs w:val="20"/>
        </w:rPr>
        <w:t>. 2023;16(9):e012805. doi:10.1161/circinterventions.122.012805</w:t>
      </w:r>
    </w:p>
    <w:p w14:paraId="603091F7" w14:textId="77777777" w:rsidR="00923FA2" w:rsidRPr="00C20245" w:rsidRDefault="00923FA2" w:rsidP="00923FA2">
      <w:pPr>
        <w:tabs>
          <w:tab w:val="left" w:pos="5040"/>
        </w:tabs>
        <w:spacing w:after="120"/>
        <w:rPr>
          <w:rFonts w:eastAsia="Calibri"/>
          <w:sz w:val="20"/>
          <w:szCs w:val="20"/>
        </w:rPr>
      </w:pPr>
      <w:r w:rsidRPr="00C20245">
        <w:rPr>
          <w:rFonts w:eastAsia="Calibri"/>
          <w:sz w:val="20"/>
          <w:szCs w:val="20"/>
        </w:rPr>
        <w:t xml:space="preserve">Hassan AA, Sharaby SA, </w:t>
      </w:r>
      <w:proofErr w:type="spellStart"/>
      <w:r w:rsidRPr="00C20245">
        <w:rPr>
          <w:rFonts w:eastAsia="Calibri"/>
          <w:sz w:val="20"/>
          <w:szCs w:val="20"/>
        </w:rPr>
        <w:t>Elbosraty</w:t>
      </w:r>
      <w:proofErr w:type="spellEnd"/>
      <w:r w:rsidRPr="00C20245">
        <w:rPr>
          <w:rFonts w:eastAsia="Calibri"/>
          <w:sz w:val="20"/>
          <w:szCs w:val="20"/>
        </w:rPr>
        <w:t xml:space="preserve"> EE, et al. Comparative Safety and Efficacy of </w:t>
      </w:r>
      <w:proofErr w:type="spellStart"/>
      <w:r w:rsidRPr="00C20245">
        <w:rPr>
          <w:rFonts w:eastAsia="Calibri"/>
          <w:sz w:val="20"/>
          <w:szCs w:val="20"/>
        </w:rPr>
        <w:t>Transcarotid</w:t>
      </w:r>
      <w:proofErr w:type="spellEnd"/>
      <w:r w:rsidRPr="00C20245">
        <w:rPr>
          <w:rFonts w:eastAsia="Calibri"/>
          <w:sz w:val="20"/>
          <w:szCs w:val="20"/>
        </w:rPr>
        <w:t xml:space="preserve"> Artery Revascularization Versus Transfemoral Carotid Artery Stenting: A Systematic Review and Meta-Analysis. Ann </w:t>
      </w:r>
      <w:proofErr w:type="spellStart"/>
      <w:r w:rsidRPr="00C20245">
        <w:rPr>
          <w:rFonts w:eastAsia="Calibri"/>
          <w:sz w:val="20"/>
          <w:szCs w:val="20"/>
        </w:rPr>
        <w:t>Vasc</w:t>
      </w:r>
      <w:proofErr w:type="spellEnd"/>
      <w:r w:rsidRPr="00C20245">
        <w:rPr>
          <w:rFonts w:eastAsia="Calibri"/>
          <w:sz w:val="20"/>
          <w:szCs w:val="20"/>
        </w:rPr>
        <w:t xml:space="preserve"> Surg. 2026;122:736-754. doi:10.1016/j.avsg.2025.08.052</w:t>
      </w:r>
    </w:p>
    <w:p w14:paraId="2CD2F427" w14:textId="35605895" w:rsidR="00557546" w:rsidRPr="000C338A" w:rsidRDefault="00923FA2" w:rsidP="000C338A">
      <w:pPr>
        <w:tabs>
          <w:tab w:val="left" w:pos="5040"/>
        </w:tabs>
        <w:spacing w:after="120"/>
        <w:rPr>
          <w:rFonts w:eastAsia="Calibri"/>
          <w:sz w:val="20"/>
          <w:szCs w:val="20"/>
        </w:rPr>
      </w:pPr>
      <w:r w:rsidRPr="00284006">
        <w:rPr>
          <w:rFonts w:eastAsia="Calibri"/>
          <w:sz w:val="20"/>
          <w:szCs w:val="20"/>
        </w:rPr>
        <w:t>Carotid Artery Stenting (CAS) Investigational Studies | CMS. Cms.gov. https://www.cms.gov/medicare/coverage/approved-facilities-trials-registries/carotid-artery-stenting-studies</w:t>
      </w:r>
    </w:p>
    <w:sectPr w:rsidR="00557546" w:rsidRPr="000C338A" w:rsidSect="00CE1C75">
      <w:footerReference w:type="default" r:id="rId24"/>
      <w:footerReference w:type="first" r:id="rId25"/>
      <w:pgSz w:w="12240" w:h="15840"/>
      <w:pgMar w:top="720" w:right="720" w:bottom="720" w:left="720" w:header="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DF09C" w14:textId="77777777" w:rsidR="00357E09" w:rsidRDefault="00357E09" w:rsidP="00E071AB">
      <w:r>
        <w:separator/>
      </w:r>
    </w:p>
  </w:endnote>
  <w:endnote w:type="continuationSeparator" w:id="0">
    <w:p w14:paraId="6050FF9B" w14:textId="77777777" w:rsidR="00357E09" w:rsidRDefault="00357E09" w:rsidP="00E07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fficinaSerITCStd Book">
    <w:altName w:val="Calibri"/>
    <w:panose1 w:val="00000000000000000000"/>
    <w:charset w:val="00"/>
    <w:family w:val="modern"/>
    <w:notTrueType/>
    <w:pitch w:val="variable"/>
    <w:sig w:usb0="00000003" w:usb1="00000000" w:usb2="00000000" w:usb3="00000000" w:csb0="00000001" w:csb1="00000000"/>
  </w:font>
  <w:font w:name="SST Light">
    <w:charset w:val="00"/>
    <w:family w:val="swiss"/>
    <w:pitch w:val="variable"/>
    <w:sig w:usb0="A00002A7" w:usb1="00000001" w:usb2="00000000" w:usb3="00000000" w:csb0="0000009F" w:csb1="00000000"/>
  </w:font>
  <w:font w:name="SST Condensed">
    <w:altName w:val="Calibri"/>
    <w:charset w:val="00"/>
    <w:family w:val="swiss"/>
    <w:pitch w:val="variable"/>
    <w:sig w:usb0="A00002AF" w:usb1="5000204B" w:usb2="00000000" w:usb3="00000000" w:csb0="0000009F" w:csb1="00000000"/>
  </w:font>
  <w:font w:name="SST Condensed Medium">
    <w:charset w:val="00"/>
    <w:family w:val="swiss"/>
    <w:pitch w:val="variable"/>
    <w:sig w:usb0="A00002AF" w:usb1="5000204B" w:usb2="00000000" w:usb3="00000000" w:csb0="0000009F" w:csb1="00000000"/>
  </w:font>
  <w:font w:name="OfficinaSerITCStd Medium">
    <w:altName w:val="Calibri"/>
    <w:panose1 w:val="00000000000000000000"/>
    <w:charset w:val="00"/>
    <w:family w:val="moder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85C9F" w14:textId="77777777" w:rsidR="004C39AB" w:rsidRPr="004C39AB" w:rsidRDefault="004C39AB" w:rsidP="004C39AB">
    <w:pPr>
      <w:pStyle w:val="Footer"/>
    </w:pPr>
    <w:r w:rsidRPr="004C39AB">
      <w:rPr>
        <w:color w:val="auto"/>
      </w:rPr>
      <w:t>© 2026 Boston Scientific Corporation or its affiliates. All rights reserved.</w:t>
    </w:r>
    <w:r>
      <w:rPr>
        <w:color w:val="auto"/>
      </w:rPr>
      <w:t xml:space="preserve"> </w:t>
    </w:r>
    <w:r w:rsidRPr="004C39AB">
      <w:rPr>
        <w:color w:val="auto"/>
      </w:rPr>
      <w:t>PI_2456802_AA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CB6C3" w14:textId="48EE652C" w:rsidR="004C39AB" w:rsidRPr="004C39AB" w:rsidRDefault="004C39AB" w:rsidP="004C39AB">
    <w:pPr>
      <w:pStyle w:val="Footer"/>
    </w:pPr>
    <w:r w:rsidRPr="004C39AB">
      <w:rPr>
        <w:color w:val="auto"/>
      </w:rPr>
      <w:t>© 2026 Boston Scientific Corporation or its affiliates. All rights reserved.</w:t>
    </w:r>
    <w:r>
      <w:rPr>
        <w:color w:val="auto"/>
      </w:rPr>
      <w:t xml:space="preserve"> </w:t>
    </w:r>
    <w:r w:rsidRPr="004C39AB">
      <w:rPr>
        <w:color w:val="auto"/>
      </w:rPr>
      <w:t>PI_2456802_AA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2E4BF" w14:textId="77777777" w:rsidR="00357E09" w:rsidRDefault="00357E09" w:rsidP="00E071AB">
      <w:r>
        <w:separator/>
      </w:r>
    </w:p>
  </w:footnote>
  <w:footnote w:type="continuationSeparator" w:id="0">
    <w:p w14:paraId="6483E57F" w14:textId="77777777" w:rsidR="00357E09" w:rsidRDefault="00357E09" w:rsidP="00E071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0C5C"/>
    <w:multiLevelType w:val="hybridMultilevel"/>
    <w:tmpl w:val="B8B23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A701E4"/>
    <w:multiLevelType w:val="hybridMultilevel"/>
    <w:tmpl w:val="87C86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B162BD"/>
    <w:multiLevelType w:val="hybridMultilevel"/>
    <w:tmpl w:val="822A0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FF3788"/>
    <w:multiLevelType w:val="hybridMultilevel"/>
    <w:tmpl w:val="121AF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82585C"/>
    <w:multiLevelType w:val="hybridMultilevel"/>
    <w:tmpl w:val="BADC2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965677"/>
    <w:multiLevelType w:val="hybridMultilevel"/>
    <w:tmpl w:val="770CAD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25510E"/>
    <w:multiLevelType w:val="hybridMultilevel"/>
    <w:tmpl w:val="7112535E"/>
    <w:lvl w:ilvl="0" w:tplc="A560C12A">
      <w:start w:val="1"/>
      <w:numFmt w:val="decimal"/>
      <w:lvlText w:val="%1."/>
      <w:lvlJc w:val="left"/>
      <w:pPr>
        <w:ind w:left="360" w:hanging="360"/>
      </w:pPr>
      <w:rPr>
        <w:color w:val="61737B" w:themeColor="text1"/>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693084E"/>
    <w:multiLevelType w:val="hybridMultilevel"/>
    <w:tmpl w:val="0A96610A"/>
    <w:lvl w:ilvl="0" w:tplc="04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14D1F6F"/>
    <w:multiLevelType w:val="hybridMultilevel"/>
    <w:tmpl w:val="40289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A776AE"/>
    <w:multiLevelType w:val="hybridMultilevel"/>
    <w:tmpl w:val="6660E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5913741">
    <w:abstractNumId w:val="3"/>
  </w:num>
  <w:num w:numId="2" w16cid:durableId="358700454">
    <w:abstractNumId w:val="6"/>
  </w:num>
  <w:num w:numId="3" w16cid:durableId="59250514">
    <w:abstractNumId w:val="9"/>
  </w:num>
  <w:num w:numId="4" w16cid:durableId="184296523">
    <w:abstractNumId w:val="0"/>
  </w:num>
  <w:num w:numId="5" w16cid:durableId="2141535067">
    <w:abstractNumId w:val="8"/>
  </w:num>
  <w:num w:numId="6" w16cid:durableId="1696955010">
    <w:abstractNumId w:val="2"/>
  </w:num>
  <w:num w:numId="7" w16cid:durableId="969558095">
    <w:abstractNumId w:val="5"/>
  </w:num>
  <w:num w:numId="8" w16cid:durableId="1480883278">
    <w:abstractNumId w:val="7"/>
  </w:num>
  <w:num w:numId="9" w16cid:durableId="834414260">
    <w:abstractNumId w:val="1"/>
  </w:num>
  <w:num w:numId="10" w16cid:durableId="16278156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C0B"/>
    <w:rsid w:val="0000369D"/>
    <w:rsid w:val="000070A7"/>
    <w:rsid w:val="000108DD"/>
    <w:rsid w:val="00012D9C"/>
    <w:rsid w:val="00017288"/>
    <w:rsid w:val="000178EB"/>
    <w:rsid w:val="0002406A"/>
    <w:rsid w:val="0003027D"/>
    <w:rsid w:val="00030B28"/>
    <w:rsid w:val="0003145F"/>
    <w:rsid w:val="00037A78"/>
    <w:rsid w:val="000448B6"/>
    <w:rsid w:val="00056EE4"/>
    <w:rsid w:val="00060131"/>
    <w:rsid w:val="0007108B"/>
    <w:rsid w:val="00077976"/>
    <w:rsid w:val="00081886"/>
    <w:rsid w:val="000831F2"/>
    <w:rsid w:val="000840EE"/>
    <w:rsid w:val="0008539A"/>
    <w:rsid w:val="00093052"/>
    <w:rsid w:val="000944FA"/>
    <w:rsid w:val="00094942"/>
    <w:rsid w:val="000A1C56"/>
    <w:rsid w:val="000A5F7B"/>
    <w:rsid w:val="000C0022"/>
    <w:rsid w:val="000C2B78"/>
    <w:rsid w:val="000C338A"/>
    <w:rsid w:val="000C4789"/>
    <w:rsid w:val="000C67EF"/>
    <w:rsid w:val="000D37CC"/>
    <w:rsid w:val="000F1937"/>
    <w:rsid w:val="000F5D8F"/>
    <w:rsid w:val="00100F56"/>
    <w:rsid w:val="00120188"/>
    <w:rsid w:val="00134AE1"/>
    <w:rsid w:val="00151870"/>
    <w:rsid w:val="00152EA2"/>
    <w:rsid w:val="0015776A"/>
    <w:rsid w:val="00161C98"/>
    <w:rsid w:val="00171CAB"/>
    <w:rsid w:val="001A1264"/>
    <w:rsid w:val="001A4205"/>
    <w:rsid w:val="001C4FCA"/>
    <w:rsid w:val="001C53F6"/>
    <w:rsid w:val="001D19F8"/>
    <w:rsid w:val="001D30D4"/>
    <w:rsid w:val="001D5B6B"/>
    <w:rsid w:val="001D68BE"/>
    <w:rsid w:val="001D7B1D"/>
    <w:rsid w:val="001F04CF"/>
    <w:rsid w:val="00202E9E"/>
    <w:rsid w:val="00206B18"/>
    <w:rsid w:val="00206CA5"/>
    <w:rsid w:val="0021624D"/>
    <w:rsid w:val="00222401"/>
    <w:rsid w:val="0022242A"/>
    <w:rsid w:val="00222A85"/>
    <w:rsid w:val="00226FF1"/>
    <w:rsid w:val="00230ADD"/>
    <w:rsid w:val="00236F5E"/>
    <w:rsid w:val="00246D3A"/>
    <w:rsid w:val="00253953"/>
    <w:rsid w:val="0025496F"/>
    <w:rsid w:val="00255A95"/>
    <w:rsid w:val="00257DFD"/>
    <w:rsid w:val="00260125"/>
    <w:rsid w:val="00263221"/>
    <w:rsid w:val="00263DBF"/>
    <w:rsid w:val="002711E1"/>
    <w:rsid w:val="0027146A"/>
    <w:rsid w:val="0028123D"/>
    <w:rsid w:val="00283C38"/>
    <w:rsid w:val="002842C6"/>
    <w:rsid w:val="00292F5C"/>
    <w:rsid w:val="0029416F"/>
    <w:rsid w:val="002A3845"/>
    <w:rsid w:val="002B00B9"/>
    <w:rsid w:val="002B7F60"/>
    <w:rsid w:val="002C2F01"/>
    <w:rsid w:val="002C6128"/>
    <w:rsid w:val="002C726E"/>
    <w:rsid w:val="002C7298"/>
    <w:rsid w:val="002D1F62"/>
    <w:rsid w:val="002D6CF7"/>
    <w:rsid w:val="002E24A0"/>
    <w:rsid w:val="002E4D6E"/>
    <w:rsid w:val="0030060C"/>
    <w:rsid w:val="00301C80"/>
    <w:rsid w:val="00301FBD"/>
    <w:rsid w:val="003122AE"/>
    <w:rsid w:val="00315036"/>
    <w:rsid w:val="00315718"/>
    <w:rsid w:val="00316108"/>
    <w:rsid w:val="0032300A"/>
    <w:rsid w:val="00325595"/>
    <w:rsid w:val="00330EAE"/>
    <w:rsid w:val="00332979"/>
    <w:rsid w:val="00335E65"/>
    <w:rsid w:val="00340249"/>
    <w:rsid w:val="00341B97"/>
    <w:rsid w:val="003436D1"/>
    <w:rsid w:val="003453B9"/>
    <w:rsid w:val="00345B26"/>
    <w:rsid w:val="00355AF2"/>
    <w:rsid w:val="00356FED"/>
    <w:rsid w:val="00357E09"/>
    <w:rsid w:val="003769C8"/>
    <w:rsid w:val="00376F9B"/>
    <w:rsid w:val="003821C5"/>
    <w:rsid w:val="003826EB"/>
    <w:rsid w:val="00386E95"/>
    <w:rsid w:val="003940EB"/>
    <w:rsid w:val="00394CAF"/>
    <w:rsid w:val="003950C0"/>
    <w:rsid w:val="003A48F2"/>
    <w:rsid w:val="003C188A"/>
    <w:rsid w:val="003C765D"/>
    <w:rsid w:val="003E02C3"/>
    <w:rsid w:val="003E3CDB"/>
    <w:rsid w:val="003E5067"/>
    <w:rsid w:val="003E6403"/>
    <w:rsid w:val="003F485B"/>
    <w:rsid w:val="00403CC4"/>
    <w:rsid w:val="0042727A"/>
    <w:rsid w:val="0044400A"/>
    <w:rsid w:val="004474DE"/>
    <w:rsid w:val="00453A6A"/>
    <w:rsid w:val="00461220"/>
    <w:rsid w:val="0046468A"/>
    <w:rsid w:val="0046707D"/>
    <w:rsid w:val="00467749"/>
    <w:rsid w:val="00476C0B"/>
    <w:rsid w:val="004911C2"/>
    <w:rsid w:val="0049311C"/>
    <w:rsid w:val="00495E26"/>
    <w:rsid w:val="004A5656"/>
    <w:rsid w:val="004A7D00"/>
    <w:rsid w:val="004B008F"/>
    <w:rsid w:val="004B01A7"/>
    <w:rsid w:val="004C0499"/>
    <w:rsid w:val="004C39AB"/>
    <w:rsid w:val="004D0C40"/>
    <w:rsid w:val="004F6584"/>
    <w:rsid w:val="00505E2E"/>
    <w:rsid w:val="005113EA"/>
    <w:rsid w:val="00512F9D"/>
    <w:rsid w:val="00524875"/>
    <w:rsid w:val="00540213"/>
    <w:rsid w:val="0054324A"/>
    <w:rsid w:val="00551859"/>
    <w:rsid w:val="00556139"/>
    <w:rsid w:val="00557546"/>
    <w:rsid w:val="00573B78"/>
    <w:rsid w:val="00576690"/>
    <w:rsid w:val="00576D0A"/>
    <w:rsid w:val="00581F0B"/>
    <w:rsid w:val="00583FB5"/>
    <w:rsid w:val="005859C7"/>
    <w:rsid w:val="00591CBC"/>
    <w:rsid w:val="005B2274"/>
    <w:rsid w:val="005C24D6"/>
    <w:rsid w:val="005D0B31"/>
    <w:rsid w:val="005E1CF3"/>
    <w:rsid w:val="005E1EB6"/>
    <w:rsid w:val="005E31A2"/>
    <w:rsid w:val="005E7F15"/>
    <w:rsid w:val="005F56AC"/>
    <w:rsid w:val="00613045"/>
    <w:rsid w:val="00630A92"/>
    <w:rsid w:val="0064330C"/>
    <w:rsid w:val="006519D1"/>
    <w:rsid w:val="00677240"/>
    <w:rsid w:val="00682442"/>
    <w:rsid w:val="006844A5"/>
    <w:rsid w:val="00685BEB"/>
    <w:rsid w:val="00690FB0"/>
    <w:rsid w:val="006A6781"/>
    <w:rsid w:val="006B326E"/>
    <w:rsid w:val="006B4601"/>
    <w:rsid w:val="006B4D4E"/>
    <w:rsid w:val="006B5D7C"/>
    <w:rsid w:val="006C32FD"/>
    <w:rsid w:val="006C5198"/>
    <w:rsid w:val="006D0CF9"/>
    <w:rsid w:val="006D2C53"/>
    <w:rsid w:val="006D7C7E"/>
    <w:rsid w:val="006E0406"/>
    <w:rsid w:val="006E3E61"/>
    <w:rsid w:val="006E4118"/>
    <w:rsid w:val="006E6FB4"/>
    <w:rsid w:val="006F058C"/>
    <w:rsid w:val="006F5DD2"/>
    <w:rsid w:val="006F7981"/>
    <w:rsid w:val="0070144C"/>
    <w:rsid w:val="007079D9"/>
    <w:rsid w:val="00733975"/>
    <w:rsid w:val="00746085"/>
    <w:rsid w:val="00746E01"/>
    <w:rsid w:val="00764B20"/>
    <w:rsid w:val="00766159"/>
    <w:rsid w:val="0076633D"/>
    <w:rsid w:val="00767762"/>
    <w:rsid w:val="0077169B"/>
    <w:rsid w:val="0079681A"/>
    <w:rsid w:val="007A1B86"/>
    <w:rsid w:val="007C300C"/>
    <w:rsid w:val="007C5858"/>
    <w:rsid w:val="007D030D"/>
    <w:rsid w:val="007D121B"/>
    <w:rsid w:val="007D728C"/>
    <w:rsid w:val="007E1C9A"/>
    <w:rsid w:val="007E3727"/>
    <w:rsid w:val="007E56AB"/>
    <w:rsid w:val="007E7C6F"/>
    <w:rsid w:val="00800E90"/>
    <w:rsid w:val="00801359"/>
    <w:rsid w:val="00801A89"/>
    <w:rsid w:val="008053BC"/>
    <w:rsid w:val="008261FD"/>
    <w:rsid w:val="00830C35"/>
    <w:rsid w:val="00837154"/>
    <w:rsid w:val="0085036E"/>
    <w:rsid w:val="00851408"/>
    <w:rsid w:val="00865519"/>
    <w:rsid w:val="00870826"/>
    <w:rsid w:val="00881536"/>
    <w:rsid w:val="00890B03"/>
    <w:rsid w:val="00891199"/>
    <w:rsid w:val="008A0597"/>
    <w:rsid w:val="008A0DBD"/>
    <w:rsid w:val="008A3838"/>
    <w:rsid w:val="008A3900"/>
    <w:rsid w:val="008B3227"/>
    <w:rsid w:val="008E09D7"/>
    <w:rsid w:val="008F183A"/>
    <w:rsid w:val="008F497C"/>
    <w:rsid w:val="00901223"/>
    <w:rsid w:val="00905721"/>
    <w:rsid w:val="009101AE"/>
    <w:rsid w:val="0091021F"/>
    <w:rsid w:val="00923FA2"/>
    <w:rsid w:val="00924EA5"/>
    <w:rsid w:val="009339E6"/>
    <w:rsid w:val="00936D22"/>
    <w:rsid w:val="00937A40"/>
    <w:rsid w:val="00943481"/>
    <w:rsid w:val="00950346"/>
    <w:rsid w:val="0095179B"/>
    <w:rsid w:val="009519DF"/>
    <w:rsid w:val="0095414B"/>
    <w:rsid w:val="009602DF"/>
    <w:rsid w:val="00962B3F"/>
    <w:rsid w:val="009661EA"/>
    <w:rsid w:val="00973311"/>
    <w:rsid w:val="0097430C"/>
    <w:rsid w:val="009823E8"/>
    <w:rsid w:val="00985A77"/>
    <w:rsid w:val="00985EF0"/>
    <w:rsid w:val="00990A10"/>
    <w:rsid w:val="00991256"/>
    <w:rsid w:val="009972F8"/>
    <w:rsid w:val="009A2FF0"/>
    <w:rsid w:val="009A4F2D"/>
    <w:rsid w:val="009A7137"/>
    <w:rsid w:val="009B726D"/>
    <w:rsid w:val="009C40AB"/>
    <w:rsid w:val="009C6947"/>
    <w:rsid w:val="009D1CCF"/>
    <w:rsid w:val="009D64E4"/>
    <w:rsid w:val="009D69AC"/>
    <w:rsid w:val="009E6E04"/>
    <w:rsid w:val="009E7701"/>
    <w:rsid w:val="00A003AE"/>
    <w:rsid w:val="00A015D0"/>
    <w:rsid w:val="00A12B09"/>
    <w:rsid w:val="00A16D41"/>
    <w:rsid w:val="00A21D06"/>
    <w:rsid w:val="00A23898"/>
    <w:rsid w:val="00A336BC"/>
    <w:rsid w:val="00A72660"/>
    <w:rsid w:val="00A80C0B"/>
    <w:rsid w:val="00A95015"/>
    <w:rsid w:val="00A967DD"/>
    <w:rsid w:val="00A96EE1"/>
    <w:rsid w:val="00AB4FAB"/>
    <w:rsid w:val="00AC0E2D"/>
    <w:rsid w:val="00AC3CC5"/>
    <w:rsid w:val="00AC4A6F"/>
    <w:rsid w:val="00AC7476"/>
    <w:rsid w:val="00AD0F0C"/>
    <w:rsid w:val="00AD3E9B"/>
    <w:rsid w:val="00AD72D6"/>
    <w:rsid w:val="00AE2891"/>
    <w:rsid w:val="00AE6188"/>
    <w:rsid w:val="00AE703F"/>
    <w:rsid w:val="00B01B69"/>
    <w:rsid w:val="00B03D14"/>
    <w:rsid w:val="00B0598B"/>
    <w:rsid w:val="00B06B2E"/>
    <w:rsid w:val="00B06EA7"/>
    <w:rsid w:val="00B077EB"/>
    <w:rsid w:val="00B116AB"/>
    <w:rsid w:val="00B16C3B"/>
    <w:rsid w:val="00B24BCE"/>
    <w:rsid w:val="00B54777"/>
    <w:rsid w:val="00B56C31"/>
    <w:rsid w:val="00B725E4"/>
    <w:rsid w:val="00B80865"/>
    <w:rsid w:val="00B81276"/>
    <w:rsid w:val="00B92A87"/>
    <w:rsid w:val="00B93EFC"/>
    <w:rsid w:val="00BA38D4"/>
    <w:rsid w:val="00BA5CC9"/>
    <w:rsid w:val="00BB49E4"/>
    <w:rsid w:val="00BC0DF6"/>
    <w:rsid w:val="00BC1839"/>
    <w:rsid w:val="00BC5487"/>
    <w:rsid w:val="00BD1526"/>
    <w:rsid w:val="00BD4A38"/>
    <w:rsid w:val="00BD5471"/>
    <w:rsid w:val="00BF3EFB"/>
    <w:rsid w:val="00BF4E47"/>
    <w:rsid w:val="00C07E4B"/>
    <w:rsid w:val="00C1192F"/>
    <w:rsid w:val="00C11CBB"/>
    <w:rsid w:val="00C20930"/>
    <w:rsid w:val="00C244AF"/>
    <w:rsid w:val="00C26552"/>
    <w:rsid w:val="00C32E3B"/>
    <w:rsid w:val="00C475B3"/>
    <w:rsid w:val="00C5350B"/>
    <w:rsid w:val="00C5613D"/>
    <w:rsid w:val="00C56BDF"/>
    <w:rsid w:val="00C6457B"/>
    <w:rsid w:val="00C6779F"/>
    <w:rsid w:val="00C70AB1"/>
    <w:rsid w:val="00C77B72"/>
    <w:rsid w:val="00C83373"/>
    <w:rsid w:val="00C83428"/>
    <w:rsid w:val="00C84FC8"/>
    <w:rsid w:val="00C90CBB"/>
    <w:rsid w:val="00C91773"/>
    <w:rsid w:val="00C917D6"/>
    <w:rsid w:val="00C94870"/>
    <w:rsid w:val="00C94FE6"/>
    <w:rsid w:val="00CA0281"/>
    <w:rsid w:val="00CA2B38"/>
    <w:rsid w:val="00CA6B42"/>
    <w:rsid w:val="00CB0BF6"/>
    <w:rsid w:val="00CB6F71"/>
    <w:rsid w:val="00CC1325"/>
    <w:rsid w:val="00CC63EC"/>
    <w:rsid w:val="00CD2F23"/>
    <w:rsid w:val="00CE1C75"/>
    <w:rsid w:val="00CE2565"/>
    <w:rsid w:val="00CE6E81"/>
    <w:rsid w:val="00CE6F72"/>
    <w:rsid w:val="00CF5B26"/>
    <w:rsid w:val="00D033B6"/>
    <w:rsid w:val="00D0387D"/>
    <w:rsid w:val="00D046BA"/>
    <w:rsid w:val="00D17A7C"/>
    <w:rsid w:val="00D27819"/>
    <w:rsid w:val="00D27879"/>
    <w:rsid w:val="00D33475"/>
    <w:rsid w:val="00D3657A"/>
    <w:rsid w:val="00D55AAF"/>
    <w:rsid w:val="00D55B8D"/>
    <w:rsid w:val="00D65A9D"/>
    <w:rsid w:val="00D71AA4"/>
    <w:rsid w:val="00D72FE9"/>
    <w:rsid w:val="00D81CF4"/>
    <w:rsid w:val="00D92154"/>
    <w:rsid w:val="00DA35E8"/>
    <w:rsid w:val="00DA595D"/>
    <w:rsid w:val="00DA5D68"/>
    <w:rsid w:val="00DA66AB"/>
    <w:rsid w:val="00DB2FAD"/>
    <w:rsid w:val="00DB4B03"/>
    <w:rsid w:val="00DC67AD"/>
    <w:rsid w:val="00DD7B3A"/>
    <w:rsid w:val="00DE4C01"/>
    <w:rsid w:val="00DF381B"/>
    <w:rsid w:val="00DF6BAF"/>
    <w:rsid w:val="00E01861"/>
    <w:rsid w:val="00E07099"/>
    <w:rsid w:val="00E071AB"/>
    <w:rsid w:val="00E13894"/>
    <w:rsid w:val="00E21C3A"/>
    <w:rsid w:val="00E24A91"/>
    <w:rsid w:val="00E31AE0"/>
    <w:rsid w:val="00E36A48"/>
    <w:rsid w:val="00E45CFC"/>
    <w:rsid w:val="00E72879"/>
    <w:rsid w:val="00E73AC5"/>
    <w:rsid w:val="00E804A0"/>
    <w:rsid w:val="00EA013E"/>
    <w:rsid w:val="00EA3345"/>
    <w:rsid w:val="00EB3913"/>
    <w:rsid w:val="00ED00F1"/>
    <w:rsid w:val="00ED2D48"/>
    <w:rsid w:val="00ED4772"/>
    <w:rsid w:val="00EE5D43"/>
    <w:rsid w:val="00F0455B"/>
    <w:rsid w:val="00F24551"/>
    <w:rsid w:val="00F25F91"/>
    <w:rsid w:val="00F36291"/>
    <w:rsid w:val="00F40A24"/>
    <w:rsid w:val="00F428C7"/>
    <w:rsid w:val="00F4649C"/>
    <w:rsid w:val="00F51512"/>
    <w:rsid w:val="00F537DC"/>
    <w:rsid w:val="00F6354F"/>
    <w:rsid w:val="00F7289C"/>
    <w:rsid w:val="00F823C5"/>
    <w:rsid w:val="00F82933"/>
    <w:rsid w:val="00F86A7F"/>
    <w:rsid w:val="00F90AE8"/>
    <w:rsid w:val="00F9544D"/>
    <w:rsid w:val="00FA1F25"/>
    <w:rsid w:val="00FB1E12"/>
    <w:rsid w:val="00FB3AEE"/>
    <w:rsid w:val="00FB59E2"/>
    <w:rsid w:val="00FC0C5D"/>
    <w:rsid w:val="00FC1EF6"/>
    <w:rsid w:val="00FC3EFC"/>
    <w:rsid w:val="00FC4262"/>
    <w:rsid w:val="00FC665F"/>
    <w:rsid w:val="00FD0EC8"/>
    <w:rsid w:val="00FD12A6"/>
    <w:rsid w:val="00FD4C3A"/>
    <w:rsid w:val="00FF7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937D30"/>
  <w15:chartTrackingRefBased/>
  <w15:docId w15:val="{91998789-F656-8246-B578-55145F9F9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1AB"/>
    <w:pPr>
      <w:spacing w:after="160" w:line="259" w:lineRule="auto"/>
    </w:pPr>
    <w:rPr>
      <w:sz w:val="22"/>
      <w:szCs w:val="22"/>
    </w:rPr>
  </w:style>
  <w:style w:type="paragraph" w:styleId="Heading1">
    <w:name w:val="heading 1"/>
    <w:basedOn w:val="Normal"/>
    <w:next w:val="Normal"/>
    <w:link w:val="Heading1Char"/>
    <w:uiPriority w:val="9"/>
    <w:qFormat/>
    <w:rsid w:val="00A015D0"/>
    <w:pPr>
      <w:spacing w:before="120"/>
      <w:outlineLvl w:val="0"/>
    </w:pPr>
    <w:rPr>
      <w:b/>
      <w:bCs/>
      <w:color w:val="003C71" w:themeColor="text2"/>
      <w:kern w:val="2"/>
      <w:sz w:val="32"/>
      <w:szCs w:val="32"/>
    </w:rPr>
  </w:style>
  <w:style w:type="paragraph" w:styleId="Heading2">
    <w:name w:val="heading 2"/>
    <w:basedOn w:val="Normal"/>
    <w:next w:val="Normal"/>
    <w:link w:val="Heading2Char"/>
    <w:uiPriority w:val="9"/>
    <w:unhideWhenUsed/>
    <w:qFormat/>
    <w:rsid w:val="006D2C53"/>
    <w:pPr>
      <w:spacing w:before="360" w:after="120"/>
      <w:jc w:val="both"/>
      <w:outlineLvl w:val="1"/>
    </w:pPr>
    <w:rPr>
      <w:b/>
      <w:bCs/>
      <w:noProof/>
      <w:color w:val="003C71" w:themeColor="text2"/>
      <w:kern w:val="2"/>
      <w:sz w:val="28"/>
      <w:szCs w:val="32"/>
    </w:rPr>
  </w:style>
  <w:style w:type="paragraph" w:styleId="Heading3">
    <w:name w:val="heading 3"/>
    <w:basedOn w:val="Normal"/>
    <w:next w:val="Normal"/>
    <w:link w:val="Heading3Char"/>
    <w:uiPriority w:val="9"/>
    <w:unhideWhenUsed/>
    <w:qFormat/>
    <w:rsid w:val="00D92154"/>
    <w:pPr>
      <w:spacing w:before="240" w:after="120"/>
      <w:jc w:val="both"/>
      <w:outlineLvl w:val="2"/>
    </w:pPr>
    <w:rPr>
      <w:b/>
      <w:bCs/>
      <w:noProof/>
      <w:color w:val="8800CC" w:themeColor="accent4"/>
      <w:kern w:val="2"/>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6C0B"/>
    <w:pPr>
      <w:tabs>
        <w:tab w:val="center" w:pos="4680"/>
        <w:tab w:val="right" w:pos="9360"/>
      </w:tabs>
    </w:pPr>
  </w:style>
  <w:style w:type="character" w:customStyle="1" w:styleId="HeaderChar">
    <w:name w:val="Header Char"/>
    <w:basedOn w:val="DefaultParagraphFont"/>
    <w:link w:val="Header"/>
    <w:uiPriority w:val="99"/>
    <w:rsid w:val="00476C0B"/>
  </w:style>
  <w:style w:type="paragraph" w:styleId="Footer">
    <w:name w:val="footer"/>
    <w:basedOn w:val="Normal"/>
    <w:link w:val="FooterChar"/>
    <w:uiPriority w:val="99"/>
    <w:unhideWhenUsed/>
    <w:rsid w:val="00E72879"/>
    <w:pPr>
      <w:tabs>
        <w:tab w:val="center" w:pos="4680"/>
        <w:tab w:val="right" w:pos="9360"/>
      </w:tabs>
      <w:spacing w:after="0"/>
    </w:pPr>
    <w:rPr>
      <w:color w:val="FF0000"/>
      <w:sz w:val="16"/>
      <w:szCs w:val="16"/>
    </w:rPr>
  </w:style>
  <w:style w:type="character" w:customStyle="1" w:styleId="FooterChar">
    <w:name w:val="Footer Char"/>
    <w:basedOn w:val="DefaultParagraphFont"/>
    <w:link w:val="Footer"/>
    <w:uiPriority w:val="99"/>
    <w:rsid w:val="00E72879"/>
    <w:rPr>
      <w:color w:val="FF0000"/>
      <w:sz w:val="16"/>
      <w:szCs w:val="16"/>
    </w:rPr>
  </w:style>
  <w:style w:type="table" w:styleId="TableGrid">
    <w:name w:val="Table Grid"/>
    <w:basedOn w:val="TableNormal"/>
    <w:uiPriority w:val="39"/>
    <w:rsid w:val="003769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F82933"/>
    <w:rPr>
      <w:rFonts w:ascii="OfficinaSerITCStd Book" w:hAnsi="OfficinaSerITCStd Book"/>
      <w:b/>
      <w:bCs/>
      <w:color w:val="FFFFFF" w:themeColor="background1"/>
      <w:kern w:val="2"/>
      <w:sz w:val="72"/>
      <w:szCs w:val="72"/>
    </w:rPr>
  </w:style>
  <w:style w:type="character" w:customStyle="1" w:styleId="TitleChar">
    <w:name w:val="Title Char"/>
    <w:basedOn w:val="DefaultParagraphFont"/>
    <w:link w:val="Title"/>
    <w:uiPriority w:val="10"/>
    <w:rsid w:val="00F82933"/>
    <w:rPr>
      <w:rFonts w:ascii="OfficinaSerITCStd Book" w:hAnsi="OfficinaSerITCStd Book"/>
      <w:b/>
      <w:bCs/>
      <w:color w:val="FFFFFF" w:themeColor="background1"/>
      <w:kern w:val="2"/>
      <w:sz w:val="72"/>
      <w:szCs w:val="72"/>
    </w:rPr>
  </w:style>
  <w:style w:type="paragraph" w:styleId="Subtitle">
    <w:name w:val="Subtitle"/>
    <w:basedOn w:val="Normal"/>
    <w:next w:val="Normal"/>
    <w:link w:val="SubtitleChar"/>
    <w:uiPriority w:val="11"/>
    <w:qFormat/>
    <w:rsid w:val="007E56AB"/>
    <w:rPr>
      <w:rFonts w:ascii="SST Light" w:hAnsi="SST Light"/>
      <w:color w:val="FFFFFF" w:themeColor="background1"/>
      <w:kern w:val="2"/>
      <w:sz w:val="28"/>
      <w:szCs w:val="28"/>
    </w:rPr>
  </w:style>
  <w:style w:type="character" w:customStyle="1" w:styleId="SubtitleChar">
    <w:name w:val="Subtitle Char"/>
    <w:basedOn w:val="DefaultParagraphFont"/>
    <w:link w:val="Subtitle"/>
    <w:uiPriority w:val="11"/>
    <w:rsid w:val="007E56AB"/>
    <w:rPr>
      <w:rFonts w:ascii="SST Light" w:hAnsi="SST Light"/>
      <w:color w:val="FFFFFF" w:themeColor="background1"/>
      <w:kern w:val="2"/>
      <w:sz w:val="28"/>
      <w:szCs w:val="28"/>
    </w:rPr>
  </w:style>
  <w:style w:type="character" w:customStyle="1" w:styleId="Heading1Char">
    <w:name w:val="Heading 1 Char"/>
    <w:basedOn w:val="DefaultParagraphFont"/>
    <w:link w:val="Heading1"/>
    <w:uiPriority w:val="9"/>
    <w:rsid w:val="00A015D0"/>
    <w:rPr>
      <w:b/>
      <w:bCs/>
      <w:color w:val="003C71" w:themeColor="text2"/>
      <w:kern w:val="2"/>
      <w:sz w:val="32"/>
      <w:szCs w:val="32"/>
    </w:rPr>
  </w:style>
  <w:style w:type="paragraph" w:customStyle="1" w:styleId="SectionBreak">
    <w:name w:val="Section Break"/>
    <w:basedOn w:val="Normal"/>
    <w:link w:val="SectionBreakChar"/>
    <w:qFormat/>
    <w:rsid w:val="00151870"/>
    <w:pPr>
      <w:spacing w:after="0"/>
    </w:pPr>
  </w:style>
  <w:style w:type="character" w:customStyle="1" w:styleId="SectionBreakChar">
    <w:name w:val="Section Break Char"/>
    <w:basedOn w:val="DefaultParagraphFont"/>
    <w:link w:val="SectionBreak"/>
    <w:rsid w:val="00151870"/>
    <w:rPr>
      <w:sz w:val="22"/>
      <w:szCs w:val="22"/>
    </w:rPr>
  </w:style>
  <w:style w:type="character" w:customStyle="1" w:styleId="Heading2Char">
    <w:name w:val="Heading 2 Char"/>
    <w:basedOn w:val="DefaultParagraphFont"/>
    <w:link w:val="Heading2"/>
    <w:uiPriority w:val="9"/>
    <w:rsid w:val="006D2C53"/>
    <w:rPr>
      <w:b/>
      <w:bCs/>
      <w:noProof/>
      <w:color w:val="003C71" w:themeColor="text2"/>
      <w:kern w:val="2"/>
      <w:sz w:val="28"/>
      <w:szCs w:val="32"/>
    </w:rPr>
  </w:style>
  <w:style w:type="character" w:customStyle="1" w:styleId="Heading3Char">
    <w:name w:val="Heading 3 Char"/>
    <w:basedOn w:val="DefaultParagraphFont"/>
    <w:link w:val="Heading3"/>
    <w:uiPriority w:val="9"/>
    <w:rsid w:val="00D92154"/>
    <w:rPr>
      <w:b/>
      <w:bCs/>
      <w:noProof/>
      <w:color w:val="8800CC" w:themeColor="accent4"/>
      <w:kern w:val="2"/>
      <w:szCs w:val="28"/>
    </w:rPr>
  </w:style>
  <w:style w:type="paragraph" w:customStyle="1" w:styleId="TableFooter">
    <w:name w:val="Table Footer"/>
    <w:basedOn w:val="Footer"/>
    <w:link w:val="TableFooterChar"/>
    <w:qFormat/>
    <w:rsid w:val="00D17A7C"/>
    <w:pPr>
      <w:spacing w:before="60" w:after="60"/>
      <w:ind w:left="132"/>
    </w:pPr>
    <w:rPr>
      <w:color w:val="000000"/>
      <w:kern w:val="2"/>
      <w:sz w:val="18"/>
      <w:szCs w:val="18"/>
    </w:rPr>
  </w:style>
  <w:style w:type="character" w:customStyle="1" w:styleId="TableFooterChar">
    <w:name w:val="Table Footer Char"/>
    <w:basedOn w:val="FooterChar"/>
    <w:link w:val="TableFooter"/>
    <w:rsid w:val="00D17A7C"/>
    <w:rPr>
      <w:color w:val="000000"/>
      <w:kern w:val="2"/>
      <w:sz w:val="18"/>
      <w:szCs w:val="18"/>
    </w:rPr>
  </w:style>
  <w:style w:type="paragraph" w:customStyle="1" w:styleId="TableText">
    <w:name w:val="Table Text"/>
    <w:basedOn w:val="Normal"/>
    <w:link w:val="TableTextChar"/>
    <w:qFormat/>
    <w:rsid w:val="00081886"/>
    <w:pPr>
      <w:spacing w:after="0"/>
    </w:pPr>
  </w:style>
  <w:style w:type="character" w:customStyle="1" w:styleId="TableTextChar">
    <w:name w:val="Table Text Char"/>
    <w:basedOn w:val="DefaultParagraphFont"/>
    <w:link w:val="TableText"/>
    <w:rsid w:val="00081886"/>
    <w:rPr>
      <w:sz w:val="22"/>
      <w:szCs w:val="22"/>
    </w:rPr>
  </w:style>
  <w:style w:type="paragraph" w:styleId="ListParagraph">
    <w:name w:val="List Paragraph"/>
    <w:basedOn w:val="Normal"/>
    <w:uiPriority w:val="34"/>
    <w:qFormat/>
    <w:rsid w:val="00E24A91"/>
    <w:pPr>
      <w:ind w:left="720"/>
      <w:contextualSpacing/>
    </w:pPr>
  </w:style>
  <w:style w:type="paragraph" w:customStyle="1" w:styleId="EndDocFootnotes">
    <w:name w:val="End Doc Footnotes"/>
    <w:basedOn w:val="Normal"/>
    <w:link w:val="EndDocFootnotesChar"/>
    <w:qFormat/>
    <w:rsid w:val="00DD7B3A"/>
    <w:pPr>
      <w:spacing w:after="0" w:line="240" w:lineRule="auto"/>
    </w:pPr>
    <w:rPr>
      <w:color w:val="000000"/>
      <w:sz w:val="18"/>
      <w:szCs w:val="18"/>
    </w:rPr>
  </w:style>
  <w:style w:type="character" w:customStyle="1" w:styleId="EndDocFootnotesChar">
    <w:name w:val="End Doc Footnotes Char"/>
    <w:basedOn w:val="DefaultParagraphFont"/>
    <w:link w:val="EndDocFootnotes"/>
    <w:rsid w:val="00DD7B3A"/>
    <w:rPr>
      <w:color w:val="000000"/>
      <w:sz w:val="18"/>
      <w:szCs w:val="18"/>
    </w:rPr>
  </w:style>
  <w:style w:type="paragraph" w:customStyle="1" w:styleId="ContactInfo">
    <w:name w:val="Contact Info"/>
    <w:basedOn w:val="EndDocFootnotes"/>
    <w:link w:val="ContactInfoChar"/>
    <w:qFormat/>
    <w:rsid w:val="00DD7B3A"/>
    <w:pPr>
      <w:jc w:val="right"/>
    </w:pPr>
    <w:rPr>
      <w:noProof/>
      <w:sz w:val="16"/>
      <w:szCs w:val="16"/>
    </w:rPr>
  </w:style>
  <w:style w:type="character" w:customStyle="1" w:styleId="ContactInfoChar">
    <w:name w:val="Contact Info Char"/>
    <w:basedOn w:val="EndDocFootnotesChar"/>
    <w:link w:val="ContactInfo"/>
    <w:rsid w:val="00DD7B3A"/>
    <w:rPr>
      <w:noProof/>
      <w:color w:val="000000"/>
      <w:sz w:val="16"/>
      <w:szCs w:val="16"/>
    </w:rPr>
  </w:style>
  <w:style w:type="character" w:styleId="Hyperlink">
    <w:name w:val="Hyperlink"/>
    <w:basedOn w:val="DefaultParagraphFont"/>
    <w:uiPriority w:val="99"/>
    <w:unhideWhenUsed/>
    <w:rsid w:val="003E6403"/>
    <w:rPr>
      <w:color w:val="E0218A" w:themeColor="hyperlink"/>
      <w:u w:val="single"/>
    </w:rPr>
  </w:style>
  <w:style w:type="character" w:styleId="UnresolvedMention">
    <w:name w:val="Unresolved Mention"/>
    <w:basedOn w:val="DefaultParagraphFont"/>
    <w:uiPriority w:val="99"/>
    <w:semiHidden/>
    <w:unhideWhenUsed/>
    <w:rsid w:val="003E6403"/>
    <w:rPr>
      <w:color w:val="605E5C"/>
      <w:shd w:val="clear" w:color="auto" w:fill="E1DFDD"/>
    </w:rPr>
  </w:style>
  <w:style w:type="paragraph" w:customStyle="1" w:styleId="MiceType">
    <w:name w:val="Mice Type"/>
    <w:basedOn w:val="Normal"/>
    <w:uiPriority w:val="99"/>
    <w:rsid w:val="00CC63EC"/>
    <w:pPr>
      <w:autoSpaceDE w:val="0"/>
      <w:autoSpaceDN w:val="0"/>
      <w:adjustRightInd w:val="0"/>
      <w:spacing w:after="0" w:line="288" w:lineRule="auto"/>
      <w:textAlignment w:val="center"/>
    </w:pPr>
    <w:rPr>
      <w:rFonts w:ascii="SST Condensed" w:hAnsi="SST Condensed" w:cs="SST Condensed"/>
      <w:color w:val="000000"/>
      <w:sz w:val="12"/>
      <w:szCs w:val="12"/>
      <w14:ligatures w14:val="none"/>
    </w:rPr>
  </w:style>
  <w:style w:type="character" w:customStyle="1" w:styleId="Bold">
    <w:name w:val="Bold"/>
    <w:uiPriority w:val="99"/>
    <w:rsid w:val="00CC63EC"/>
    <w:rPr>
      <w:rFonts w:ascii="SST Condensed" w:hAnsi="SST Condensed" w:cs="SST Condensed"/>
      <w:b/>
      <w:bCs/>
    </w:rPr>
  </w:style>
  <w:style w:type="character" w:customStyle="1" w:styleId="Italic">
    <w:name w:val="Italic"/>
    <w:uiPriority w:val="99"/>
    <w:rsid w:val="00CC63EC"/>
  </w:style>
  <w:style w:type="character" w:customStyle="1" w:styleId="MediumItalic">
    <w:name w:val="Medium Italic"/>
    <w:uiPriority w:val="99"/>
    <w:rsid w:val="00CC63EC"/>
    <w:rPr>
      <w:rFonts w:ascii="SST Condensed Medium" w:hAnsi="SST Condensed Medium" w:cs="SST Condensed Medium"/>
    </w:rPr>
  </w:style>
  <w:style w:type="character" w:styleId="CommentReference">
    <w:name w:val="annotation reference"/>
    <w:basedOn w:val="DefaultParagraphFont"/>
    <w:uiPriority w:val="99"/>
    <w:semiHidden/>
    <w:unhideWhenUsed/>
    <w:rsid w:val="006E6FB4"/>
    <w:rPr>
      <w:sz w:val="16"/>
      <w:szCs w:val="16"/>
    </w:rPr>
  </w:style>
  <w:style w:type="paragraph" w:styleId="CommentText">
    <w:name w:val="annotation text"/>
    <w:basedOn w:val="Normal"/>
    <w:link w:val="CommentTextChar"/>
    <w:uiPriority w:val="99"/>
    <w:unhideWhenUsed/>
    <w:rsid w:val="006E6FB4"/>
    <w:pPr>
      <w:spacing w:line="240" w:lineRule="auto"/>
    </w:pPr>
    <w:rPr>
      <w:sz w:val="20"/>
      <w:szCs w:val="20"/>
    </w:rPr>
  </w:style>
  <w:style w:type="character" w:customStyle="1" w:styleId="CommentTextChar">
    <w:name w:val="Comment Text Char"/>
    <w:basedOn w:val="DefaultParagraphFont"/>
    <w:link w:val="CommentText"/>
    <w:uiPriority w:val="99"/>
    <w:rsid w:val="006E6FB4"/>
    <w:rPr>
      <w:sz w:val="20"/>
      <w:szCs w:val="20"/>
    </w:rPr>
  </w:style>
  <w:style w:type="paragraph" w:styleId="CommentSubject">
    <w:name w:val="annotation subject"/>
    <w:basedOn w:val="CommentText"/>
    <w:next w:val="CommentText"/>
    <w:link w:val="CommentSubjectChar"/>
    <w:uiPriority w:val="99"/>
    <w:semiHidden/>
    <w:unhideWhenUsed/>
    <w:rsid w:val="006E6FB4"/>
    <w:rPr>
      <w:b/>
      <w:bCs/>
    </w:rPr>
  </w:style>
  <w:style w:type="character" w:customStyle="1" w:styleId="CommentSubjectChar">
    <w:name w:val="Comment Subject Char"/>
    <w:basedOn w:val="CommentTextChar"/>
    <w:link w:val="CommentSubject"/>
    <w:uiPriority w:val="99"/>
    <w:semiHidden/>
    <w:rsid w:val="006E6FB4"/>
    <w:rPr>
      <w:b/>
      <w:bCs/>
      <w:sz w:val="20"/>
      <w:szCs w:val="20"/>
    </w:rPr>
  </w:style>
  <w:style w:type="paragraph" w:styleId="FootnoteText">
    <w:name w:val="footnote text"/>
    <w:basedOn w:val="Normal"/>
    <w:link w:val="FootnoteTextChar"/>
    <w:uiPriority w:val="99"/>
    <w:semiHidden/>
    <w:unhideWhenUsed/>
    <w:rsid w:val="009C69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6947"/>
    <w:rPr>
      <w:sz w:val="20"/>
      <w:szCs w:val="20"/>
    </w:rPr>
  </w:style>
  <w:style w:type="character" w:styleId="FootnoteReference">
    <w:name w:val="footnote reference"/>
    <w:basedOn w:val="DefaultParagraphFont"/>
    <w:uiPriority w:val="99"/>
    <w:semiHidden/>
    <w:unhideWhenUsed/>
    <w:rsid w:val="009C6947"/>
    <w:rPr>
      <w:vertAlign w:val="superscript"/>
    </w:rPr>
  </w:style>
  <w:style w:type="paragraph" w:customStyle="1" w:styleId="EndPageFootnotes">
    <w:name w:val="End Page Footnotes"/>
    <w:basedOn w:val="FootnoteText"/>
    <w:link w:val="EndPageFootnotesChar"/>
    <w:qFormat/>
    <w:rsid w:val="00467749"/>
    <w:pPr>
      <w:spacing w:after="60"/>
    </w:pPr>
    <w:rPr>
      <w:sz w:val="16"/>
      <w:szCs w:val="16"/>
    </w:rPr>
  </w:style>
  <w:style w:type="character" w:customStyle="1" w:styleId="EndPageFootnotesChar">
    <w:name w:val="End Page Footnotes Char"/>
    <w:basedOn w:val="FootnoteTextChar"/>
    <w:link w:val="EndPageFootnotes"/>
    <w:rsid w:val="00467749"/>
    <w:rPr>
      <w:sz w:val="16"/>
      <w:szCs w:val="16"/>
    </w:rPr>
  </w:style>
  <w:style w:type="character" w:customStyle="1" w:styleId="normaltextrun">
    <w:name w:val="normaltextrun"/>
    <w:basedOn w:val="DefaultParagraphFont"/>
    <w:rsid w:val="00923FA2"/>
  </w:style>
  <w:style w:type="character" w:styleId="Strong">
    <w:name w:val="Strong"/>
    <w:basedOn w:val="DefaultParagraphFont"/>
    <w:uiPriority w:val="22"/>
    <w:qFormat/>
    <w:rsid w:val="00923FA2"/>
    <w:rPr>
      <w:b/>
      <w:bCs/>
    </w:rPr>
  </w:style>
  <w:style w:type="character" w:customStyle="1" w:styleId="text-token-text-primary">
    <w:name w:val="text-token-text-primary"/>
    <w:basedOn w:val="DefaultParagraphFont"/>
    <w:rsid w:val="00923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ostonscientific.com/en-US/reimbursement/peripheral-vascular.html" TargetMode="External"/><Relationship Id="rId18" Type="http://schemas.openxmlformats.org/officeDocument/2006/relationships/hyperlink" Target="https://www.accessdata.fda.gov/scripts/cdrh/cfdocs/cfpmn/pmn.cfm?ID=K230402"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accessdata.fda.gov/scripts/cdrh/cfdocs/cfpma/pma.cfm?id=P140026" TargetMode="External"/><Relationship Id="rId7" Type="http://schemas.openxmlformats.org/officeDocument/2006/relationships/settings" Target="settings.xml"/><Relationship Id="rId12" Type="http://schemas.openxmlformats.org/officeDocument/2006/relationships/hyperlink" Target="mailto:VT.Reimbursement@bsci.com" TargetMode="External"/><Relationship Id="rId17" Type="http://schemas.openxmlformats.org/officeDocument/2006/relationships/hyperlink" Target="https://www.bostonscientific.com/en-US/reimbursement/peripheral-vascular.html"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bostonscientific.com/en-US/reimbursement/peripheral-vascular.html" TargetMode="External"/><Relationship Id="rId20" Type="http://schemas.openxmlformats.org/officeDocument/2006/relationships/hyperlink" Target="https://www.accessdata.fda.gov/scripts/cdrh/cfdocs/cfpmn/pmn.cfm?ID=K14307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bostonscientific.com/en-US/reimbursement/peripheral-vascular.html" TargetMode="External"/><Relationship Id="rId23" Type="http://schemas.openxmlformats.org/officeDocument/2006/relationships/hyperlink" Target="https://www.cms.gov/medicare-coverage-database/view/ncacal-decision-memo.aspx?proposed=N&amp;ncaid=311" TargetMode="External"/><Relationship Id="rId10" Type="http://schemas.openxmlformats.org/officeDocument/2006/relationships/endnotes" Target="endnotes.xml"/><Relationship Id="rId19" Type="http://schemas.openxmlformats.org/officeDocument/2006/relationships/hyperlink" Target="https://www.accessdata.fda.gov/scripts/cdrh/cfdocs/cfpmn/pmn.cfm?ID=K15348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ostonscientific.com/en-US/reimbursement/peripheral-vascular.html" TargetMode="External"/><Relationship Id="rId22" Type="http://schemas.openxmlformats.org/officeDocument/2006/relationships/hyperlink" Target="https://www.cms.gov/medicare-coverage-database/view/ncd.aspx?NCDId=201"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BSC Palette">
      <a:dk1>
        <a:srgbClr val="61737B"/>
      </a:dk1>
      <a:lt1>
        <a:srgbClr val="FFFFFF"/>
      </a:lt1>
      <a:dk2>
        <a:srgbClr val="003C71"/>
      </a:dk2>
      <a:lt2>
        <a:srgbClr val="FFFFFF"/>
      </a:lt2>
      <a:accent1>
        <a:srgbClr val="BB33FF"/>
      </a:accent1>
      <a:accent2>
        <a:srgbClr val="00BECC"/>
      </a:accent2>
      <a:accent3>
        <a:srgbClr val="3485FE"/>
      </a:accent3>
      <a:accent4>
        <a:srgbClr val="8800CC"/>
      </a:accent4>
      <a:accent5>
        <a:srgbClr val="00EEFF"/>
      </a:accent5>
      <a:accent6>
        <a:srgbClr val="003C71"/>
      </a:accent6>
      <a:hlink>
        <a:srgbClr val="E0218A"/>
      </a:hlink>
      <a:folHlink>
        <a:srgbClr val="00B0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b8d9fd7-c12f-4df4-8018-220379a0848c">
      <Terms xmlns="http://schemas.microsoft.com/office/infopath/2007/PartnerControls"/>
    </lcf76f155ced4ddcb4097134ff3c332f>
    <TaxCatchAll xmlns="909a6524-9d22-429f-bdfb-ea5694be9f2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31A869F31040499A75D9303BBBA6DE" ma:contentTypeVersion="13" ma:contentTypeDescription="Create a new document." ma:contentTypeScope="" ma:versionID="57aefa08205bcac94372c78c24690ec4">
  <xsd:schema xmlns:xsd="http://www.w3.org/2001/XMLSchema" xmlns:xs="http://www.w3.org/2001/XMLSchema" xmlns:p="http://schemas.microsoft.com/office/2006/metadata/properties" xmlns:ns2="5b8d9fd7-c12f-4df4-8018-220379a0848c" xmlns:ns3="909a6524-9d22-429f-bdfb-ea5694be9f2f" targetNamespace="http://schemas.microsoft.com/office/2006/metadata/properties" ma:root="true" ma:fieldsID="131e15c35f177fb1999d3cb412a32eea" ns2:_="" ns3:_="">
    <xsd:import namespace="5b8d9fd7-c12f-4df4-8018-220379a0848c"/>
    <xsd:import namespace="909a6524-9d22-429f-bdfb-ea5694be9f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8d9fd7-c12f-4df4-8018-220379a084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c25cbba-0c74-4f28-92d4-a3c6495c4b63"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9a6524-9d22-429f-bdfb-ea5694be9f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1a87140-e45e-48f7-932c-d0a7621c22ca}" ma:internalName="TaxCatchAll" ma:showField="CatchAllData" ma:web="909a6524-9d22-429f-bdfb-ea5694be9f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448B58-9227-476E-AEC9-58239BD114BA}">
  <ds:schemaRefs>
    <ds:schemaRef ds:uri="http://schemas.openxmlformats.org/officeDocument/2006/bibliography"/>
  </ds:schemaRefs>
</ds:datastoreItem>
</file>

<file path=customXml/itemProps2.xml><?xml version="1.0" encoding="utf-8"?>
<ds:datastoreItem xmlns:ds="http://schemas.openxmlformats.org/officeDocument/2006/customXml" ds:itemID="{89E569BC-1EE4-4B09-B551-27F4DE1E5B5C}">
  <ds:schemaRefs>
    <ds:schemaRef ds:uri="http://schemas.microsoft.com/office/2006/metadata/properties"/>
    <ds:schemaRef ds:uri="http://schemas.microsoft.com/office/infopath/2007/PartnerControls"/>
    <ds:schemaRef ds:uri="d5c8ff35-c36a-4a34-b714-29bfea0c67c9"/>
    <ds:schemaRef ds:uri="5b8d9fd7-c12f-4df4-8018-220379a0848c"/>
    <ds:schemaRef ds:uri="909a6524-9d22-429f-bdfb-ea5694be9f2f"/>
  </ds:schemaRefs>
</ds:datastoreItem>
</file>

<file path=customXml/itemProps3.xml><?xml version="1.0" encoding="utf-8"?>
<ds:datastoreItem xmlns:ds="http://schemas.openxmlformats.org/officeDocument/2006/customXml" ds:itemID="{B4099AE4-FE6C-4759-AFE2-D358EFFD3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8d9fd7-c12f-4df4-8018-220379a0848c"/>
    <ds:schemaRef ds:uri="909a6524-9d22-429f-bdfb-ea5694be9f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BDD5F4-C6D7-42CB-888D-2412C5CCF7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1572</Words>
  <Characters>10190</Characters>
  <Application>Microsoft Office Word</Application>
  <DocSecurity>0</DocSecurity>
  <Lines>164</Lines>
  <Paragraphs>82</Paragraphs>
  <ScaleCrop>false</ScaleCrop>
  <HeadingPairs>
    <vt:vector size="2" baseType="variant">
      <vt:variant>
        <vt:lpstr>Title</vt:lpstr>
      </vt:variant>
      <vt:variant>
        <vt:i4>1</vt:i4>
      </vt:variant>
    </vt:vector>
  </HeadingPairs>
  <TitlesOfParts>
    <vt:vector size="1" baseType="lpstr">
      <vt:lpstr/>
    </vt:vector>
  </TitlesOfParts>
  <Manager/>
  <Company>Boston Scientific</Company>
  <LinksUpToDate>false</LinksUpToDate>
  <CharactersWithSpaces>11680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Jackeline.Lafuente@bsci.com</dc:creator>
  <cp:keywords/>
  <dc:description/>
  <cp:lastModifiedBy>Munro, Kimberly</cp:lastModifiedBy>
  <cp:revision>2</cp:revision>
  <cp:lastPrinted>2025-01-13T23:13:00Z</cp:lastPrinted>
  <dcterms:created xsi:type="dcterms:W3CDTF">2026-03-23T17:52:00Z</dcterms:created>
  <dcterms:modified xsi:type="dcterms:W3CDTF">2026-03-23T17:52:00Z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0x010100B831A869F31040499A75D9303BBBA6DE</vt:lpwstr>
  </property>
  <property fmtid="{D5CDD505-2E9C-101B-9397-08002B2CF9AE}" pid="3" name="docLang">
    <vt:lpwstr>en</vt:lpwstr>
  </property>
  <property fmtid="{D5CDD505-2E9C-101B-9397-08002B2CF9AE}" pid="4" name="MediaServiceImageTags">
    <vt:lpwstr/>
  </property>
</Properties>
</file>