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2F1AEC" w14:textId="362A131C" w:rsidR="00D65295" w:rsidRPr="004C1E09" w:rsidRDefault="00000000" w:rsidP="001E3968">
      <w:pPr>
        <w:jc w:val="center"/>
        <w:rPr>
          <w:b/>
          <w:lang w:val="pt-BR"/>
        </w:rPr>
      </w:pPr>
      <w:r>
        <w:rPr>
          <w:lang w:val="pt-BR"/>
        </w:rPr>
        <w:pict w14:anchorId="2C823559">
          <v:shapetype id="_x0000_t202" coordsize="21600,21600" o:spt="202" path="m,l,21600r21600,l21600,xe">
            <v:stroke joinstyle="miter"/>
            <v:path gradientshapeok="t" o:connecttype="rect"/>
          </v:shapetype>
          <v:shape id="DeepLBoxSPIDType" o:spid="_x0000_s2050" type="#_x0000_t202" alt="" style="position:absolute;left:0;text-align:left;margin-left:0;margin-top:0;width:50pt;height:50pt;z-index:251658240;visibility:hidden;mso-wrap-edited:f;mso-width-percent:0;mso-height-percent:0;mso-position-horizontal-relative:text;mso-position-vertical-relative:text;mso-width-percent:0;mso-height-percent:0">
            <o:lock v:ext="edit" selection="t"/>
          </v:shape>
        </w:pict>
      </w:r>
      <w:r w:rsidR="00D65295" w:rsidRPr="004C1E09">
        <w:rPr>
          <w:b/>
          <w:noProof/>
          <w:lang w:val="pt-BR" w:eastAsia="pt-BR"/>
        </w:rPr>
        <w:drawing>
          <wp:inline distT="0" distB="0" distL="0" distR="0" wp14:anchorId="3FCBA914" wp14:editId="032232CB">
            <wp:extent cx="2159000" cy="7429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28D734" w14:textId="77777777" w:rsidR="00D65295" w:rsidRPr="004C1E09" w:rsidRDefault="00D65295" w:rsidP="007F26A7">
      <w:pPr>
        <w:jc w:val="center"/>
        <w:rPr>
          <w:b/>
          <w:lang w:val="pt-BR"/>
        </w:rPr>
      </w:pPr>
    </w:p>
    <w:p w14:paraId="0487A653" w14:textId="77777777" w:rsidR="00D65295" w:rsidRPr="004C1E09" w:rsidRDefault="00D65295">
      <w:pPr>
        <w:rPr>
          <w:b/>
          <w:sz w:val="28"/>
          <w:szCs w:val="28"/>
          <w:lang w:val="pt-BR"/>
        </w:rPr>
      </w:pPr>
    </w:p>
    <w:p w14:paraId="7C9B68C1" w14:textId="77777777" w:rsidR="001E3968" w:rsidRPr="001E3968" w:rsidRDefault="001E3968" w:rsidP="001E3968">
      <w:pPr>
        <w:pBdr>
          <w:top w:val="single" w:sz="4" w:space="1" w:color="auto"/>
          <w:bottom w:val="single" w:sz="4" w:space="1" w:color="auto"/>
        </w:pBdr>
        <w:ind w:right="-40"/>
        <w:jc w:val="center"/>
        <w:rPr>
          <w:b/>
          <w:color w:val="1F497D" w:themeColor="text2"/>
          <w:sz w:val="12"/>
          <w:szCs w:val="12"/>
          <w:lang w:val="pt-BR"/>
        </w:rPr>
      </w:pPr>
    </w:p>
    <w:p w14:paraId="0AD302E2" w14:textId="056A2B25" w:rsidR="001E3968" w:rsidRPr="00E81EF9" w:rsidRDefault="001E3968" w:rsidP="001E3968">
      <w:pPr>
        <w:pBdr>
          <w:top w:val="single" w:sz="4" w:space="1" w:color="auto"/>
          <w:bottom w:val="single" w:sz="4" w:space="1" w:color="auto"/>
        </w:pBdr>
        <w:ind w:right="-40"/>
        <w:jc w:val="center"/>
        <w:rPr>
          <w:b/>
          <w:color w:val="1F497D" w:themeColor="text2"/>
          <w:sz w:val="26"/>
          <w:szCs w:val="26"/>
          <w:lang w:val="pt-BR"/>
        </w:rPr>
      </w:pPr>
      <w:r w:rsidRPr="00E81EF9">
        <w:rPr>
          <w:b/>
          <w:color w:val="1F497D" w:themeColor="text2"/>
          <w:sz w:val="26"/>
          <w:szCs w:val="26"/>
          <w:lang w:val="pt-BR"/>
        </w:rPr>
        <w:t>Política do Sistema de Ger</w:t>
      </w:r>
      <w:r w:rsidR="00E81EF9">
        <w:rPr>
          <w:b/>
          <w:color w:val="1F497D" w:themeColor="text2"/>
          <w:sz w:val="26"/>
          <w:szCs w:val="26"/>
          <w:lang w:val="pt-BR"/>
        </w:rPr>
        <w:t xml:space="preserve">enciamento de Energia Global da </w:t>
      </w:r>
      <w:r w:rsidRPr="00E81EF9">
        <w:rPr>
          <w:b/>
          <w:color w:val="1F497D" w:themeColor="text2"/>
          <w:sz w:val="26"/>
          <w:szCs w:val="26"/>
          <w:lang w:val="pt-BR"/>
        </w:rPr>
        <w:t>Boston Scientific</w:t>
      </w:r>
    </w:p>
    <w:p w14:paraId="5A11B13A" w14:textId="77777777" w:rsidR="001E3968" w:rsidRPr="001E3968" w:rsidRDefault="001E3968" w:rsidP="001E3968">
      <w:pPr>
        <w:pBdr>
          <w:top w:val="single" w:sz="4" w:space="1" w:color="auto"/>
          <w:bottom w:val="single" w:sz="4" w:space="1" w:color="auto"/>
        </w:pBdr>
        <w:ind w:right="-40"/>
        <w:jc w:val="center"/>
        <w:rPr>
          <w:b/>
          <w:color w:val="1F497D" w:themeColor="text2"/>
          <w:sz w:val="12"/>
          <w:szCs w:val="12"/>
          <w:lang w:val="pt-BR"/>
        </w:rPr>
      </w:pPr>
    </w:p>
    <w:p w14:paraId="0ADCFB0E" w14:textId="5A97F7AA" w:rsidR="001E3968" w:rsidRDefault="001E3968">
      <w:pPr>
        <w:jc w:val="center"/>
        <w:rPr>
          <w:b/>
          <w:sz w:val="28"/>
          <w:szCs w:val="28"/>
          <w:lang w:val="pt-BR"/>
        </w:rPr>
      </w:pPr>
    </w:p>
    <w:p w14:paraId="63046051" w14:textId="7273E184" w:rsidR="00D65295" w:rsidRPr="00E81EF9" w:rsidRDefault="00D411E6">
      <w:pPr>
        <w:jc w:val="center"/>
        <w:rPr>
          <w:b/>
          <w:sz w:val="26"/>
          <w:szCs w:val="26"/>
          <w:lang w:val="pt-BR"/>
        </w:rPr>
      </w:pPr>
      <w:r w:rsidRPr="00E81EF9">
        <w:rPr>
          <w:b/>
          <w:sz w:val="26"/>
          <w:szCs w:val="26"/>
          <w:lang w:val="pt-BR"/>
        </w:rPr>
        <w:t>Eu Protejo</w:t>
      </w:r>
    </w:p>
    <w:p w14:paraId="39EFFD09" w14:textId="2B1F1944" w:rsidR="00D65295" w:rsidRPr="00E81EF9" w:rsidRDefault="004C7B3C">
      <w:pPr>
        <w:jc w:val="center"/>
        <w:rPr>
          <w:b/>
          <w:sz w:val="26"/>
          <w:szCs w:val="26"/>
          <w:lang w:val="pt-BR"/>
        </w:rPr>
      </w:pPr>
      <w:r w:rsidRPr="00E81EF9">
        <w:rPr>
          <w:b/>
          <w:sz w:val="26"/>
          <w:szCs w:val="26"/>
          <w:lang w:val="pt-BR"/>
        </w:rPr>
        <w:t>Nosso</w:t>
      </w:r>
      <w:r w:rsidR="00D65295" w:rsidRPr="00E81EF9">
        <w:rPr>
          <w:b/>
          <w:sz w:val="26"/>
          <w:szCs w:val="26"/>
          <w:lang w:val="pt-BR"/>
        </w:rPr>
        <w:t xml:space="preserve"> Planeta, Pessoas, Propriedade e</w:t>
      </w:r>
    </w:p>
    <w:p w14:paraId="46CB148A" w14:textId="6F4DCAC6" w:rsidR="00D65295" w:rsidRPr="00E81EF9" w:rsidRDefault="00491052">
      <w:pPr>
        <w:jc w:val="center"/>
        <w:rPr>
          <w:b/>
          <w:sz w:val="26"/>
          <w:szCs w:val="26"/>
          <w:lang w:val="pt-BR"/>
        </w:rPr>
      </w:pPr>
      <w:r>
        <w:rPr>
          <w:b/>
          <w:sz w:val="26"/>
          <w:szCs w:val="26"/>
          <w:lang w:val="pt-BR"/>
        </w:rPr>
        <w:t>todas as coisas</w:t>
      </w:r>
      <w:r w:rsidRPr="00E81EF9">
        <w:rPr>
          <w:b/>
          <w:sz w:val="26"/>
          <w:szCs w:val="26"/>
          <w:lang w:val="pt-BR"/>
        </w:rPr>
        <w:t xml:space="preserve"> </w:t>
      </w:r>
      <w:r w:rsidR="004C7B3C" w:rsidRPr="00E81EF9">
        <w:rPr>
          <w:b/>
          <w:sz w:val="26"/>
          <w:szCs w:val="26"/>
          <w:lang w:val="pt-BR"/>
        </w:rPr>
        <w:t>d</w:t>
      </w:r>
      <w:r w:rsidR="00D65295" w:rsidRPr="00E81EF9">
        <w:rPr>
          <w:b/>
          <w:sz w:val="26"/>
          <w:szCs w:val="26"/>
          <w:lang w:val="pt-BR"/>
        </w:rPr>
        <w:t>a Boston Scientific</w:t>
      </w:r>
    </w:p>
    <w:p w14:paraId="77DFDCE7" w14:textId="77777777" w:rsidR="00D65295" w:rsidRPr="004C1E09" w:rsidRDefault="00D65295">
      <w:pPr>
        <w:rPr>
          <w:b/>
          <w:sz w:val="28"/>
          <w:szCs w:val="28"/>
          <w:lang w:val="pt-BR"/>
        </w:rPr>
      </w:pPr>
    </w:p>
    <w:p w14:paraId="622A83E6" w14:textId="7E12FA37" w:rsidR="00D65295" w:rsidRPr="00E81EF9" w:rsidRDefault="00D65295" w:rsidP="00E81EF9">
      <w:pPr>
        <w:ind w:right="103"/>
        <w:jc w:val="both"/>
        <w:rPr>
          <w:sz w:val="23"/>
          <w:szCs w:val="23"/>
          <w:lang w:val="pt-BR"/>
        </w:rPr>
      </w:pPr>
      <w:r w:rsidRPr="00E81EF9">
        <w:rPr>
          <w:sz w:val="23"/>
          <w:szCs w:val="23"/>
          <w:lang w:val="pt-BR"/>
        </w:rPr>
        <w:t>A Boston Scientific acredita que a liderança no desempenho ambiental contribui para nossa força competitiva e beneficia nossas comunidades, clientes, acionistas e funcionários. Para reduzir os impactos das mudanças cl</w:t>
      </w:r>
      <w:r w:rsidR="004C7B3C" w:rsidRPr="00E81EF9">
        <w:rPr>
          <w:sz w:val="23"/>
          <w:szCs w:val="23"/>
          <w:lang w:val="pt-BR"/>
        </w:rPr>
        <w:t>imáticas, a Boston Scientific</w:t>
      </w:r>
      <w:r w:rsidRPr="00E81EF9">
        <w:rPr>
          <w:sz w:val="23"/>
          <w:szCs w:val="23"/>
          <w:lang w:val="pt-BR"/>
        </w:rPr>
        <w:t xml:space="preserve"> comprometeu</w:t>
      </w:r>
      <w:r w:rsidR="004C7B3C" w:rsidRPr="00E81EF9">
        <w:rPr>
          <w:sz w:val="23"/>
          <w:szCs w:val="23"/>
          <w:lang w:val="pt-BR"/>
        </w:rPr>
        <w:t>-se</w:t>
      </w:r>
      <w:r w:rsidRPr="00E81EF9">
        <w:rPr>
          <w:sz w:val="23"/>
          <w:szCs w:val="23"/>
          <w:lang w:val="pt-BR"/>
        </w:rPr>
        <w:t xml:space="preserve"> a alcançar a neutralidade de carbono associada às nossas o</w:t>
      </w:r>
      <w:r w:rsidR="004C7B3C" w:rsidRPr="00E81EF9">
        <w:rPr>
          <w:sz w:val="23"/>
          <w:szCs w:val="23"/>
          <w:lang w:val="pt-BR"/>
        </w:rPr>
        <w:t xml:space="preserve">perações de </w:t>
      </w:r>
      <w:r w:rsidR="00491052">
        <w:rPr>
          <w:sz w:val="23"/>
          <w:szCs w:val="23"/>
          <w:lang w:val="pt-BR"/>
        </w:rPr>
        <w:t>manufatura</w:t>
      </w:r>
      <w:r w:rsidR="00491052" w:rsidRPr="00E81EF9">
        <w:rPr>
          <w:sz w:val="23"/>
          <w:szCs w:val="23"/>
          <w:lang w:val="pt-BR"/>
        </w:rPr>
        <w:t xml:space="preserve"> </w:t>
      </w:r>
      <w:r w:rsidR="004C7B3C" w:rsidRPr="00E81EF9">
        <w:rPr>
          <w:sz w:val="23"/>
          <w:szCs w:val="23"/>
          <w:lang w:val="pt-BR"/>
        </w:rPr>
        <w:t>até 2030</w:t>
      </w:r>
      <w:r w:rsidR="00491052">
        <w:rPr>
          <w:sz w:val="23"/>
          <w:szCs w:val="23"/>
          <w:lang w:val="pt-BR"/>
        </w:rPr>
        <w:t>,</w:t>
      </w:r>
      <w:r w:rsidRPr="00E81EF9">
        <w:rPr>
          <w:sz w:val="23"/>
          <w:szCs w:val="23"/>
          <w:lang w:val="pt-BR"/>
        </w:rPr>
        <w:t xml:space="preserve"> e Net Zero</w:t>
      </w:r>
      <w:r w:rsidR="00491052">
        <w:rPr>
          <w:sz w:val="23"/>
          <w:szCs w:val="23"/>
          <w:lang w:val="pt-BR"/>
        </w:rPr>
        <w:t xml:space="preserve"> </w:t>
      </w:r>
      <w:r w:rsidRPr="00E81EF9">
        <w:rPr>
          <w:sz w:val="23"/>
          <w:szCs w:val="23"/>
          <w:lang w:val="pt-BR"/>
        </w:rPr>
        <w:t xml:space="preserve">em toda a nossa cadeia de valor até 2050.  </w:t>
      </w:r>
    </w:p>
    <w:p w14:paraId="141303AC" w14:textId="77777777" w:rsidR="00D65295" w:rsidRPr="00E81EF9" w:rsidRDefault="00D65295" w:rsidP="00E81EF9">
      <w:pPr>
        <w:ind w:right="103"/>
        <w:jc w:val="both"/>
        <w:rPr>
          <w:sz w:val="23"/>
          <w:szCs w:val="23"/>
          <w:lang w:val="pt-BR"/>
        </w:rPr>
      </w:pPr>
    </w:p>
    <w:p w14:paraId="38808D4A" w14:textId="5A3A6028" w:rsidR="00D65295" w:rsidRPr="00E81EF9" w:rsidRDefault="00D65295" w:rsidP="00E81EF9">
      <w:pPr>
        <w:ind w:right="103"/>
        <w:jc w:val="both"/>
        <w:rPr>
          <w:sz w:val="23"/>
          <w:szCs w:val="23"/>
          <w:lang w:val="pt-BR"/>
        </w:rPr>
      </w:pPr>
      <w:r w:rsidRPr="00E81EF9">
        <w:rPr>
          <w:sz w:val="23"/>
          <w:szCs w:val="23"/>
          <w:lang w:val="pt-BR"/>
        </w:rPr>
        <w:t>Por meio de nosso Sistema Global de Gerenciamento de Energia</w:t>
      </w:r>
      <w:r w:rsidR="00E81EF9" w:rsidRPr="00E81EF9">
        <w:rPr>
          <w:sz w:val="23"/>
          <w:szCs w:val="23"/>
          <w:lang w:val="pt-BR"/>
        </w:rPr>
        <w:t xml:space="preserve"> (GEMS), a Boston Scientific vai</w:t>
      </w:r>
      <w:r w:rsidRPr="00E81EF9">
        <w:rPr>
          <w:sz w:val="23"/>
          <w:szCs w:val="23"/>
          <w:lang w:val="pt-BR"/>
        </w:rPr>
        <w:t>:</w:t>
      </w:r>
    </w:p>
    <w:p w14:paraId="36B92560" w14:textId="77777777" w:rsidR="00D65295" w:rsidRPr="00E81EF9" w:rsidRDefault="00D65295" w:rsidP="00E81EF9">
      <w:pPr>
        <w:ind w:right="103"/>
        <w:jc w:val="both"/>
        <w:rPr>
          <w:sz w:val="23"/>
          <w:szCs w:val="23"/>
          <w:lang w:val="pt-BR"/>
        </w:rPr>
      </w:pPr>
    </w:p>
    <w:p w14:paraId="77DBB760" w14:textId="77777777" w:rsidR="00D65295" w:rsidRPr="00E81EF9" w:rsidRDefault="00D65295" w:rsidP="006B7130">
      <w:pPr>
        <w:pStyle w:val="ListParagraph"/>
        <w:numPr>
          <w:ilvl w:val="0"/>
          <w:numId w:val="4"/>
        </w:numPr>
        <w:spacing w:before="120"/>
        <w:ind w:left="567" w:right="102" w:hanging="357"/>
        <w:jc w:val="both"/>
        <w:rPr>
          <w:sz w:val="23"/>
          <w:szCs w:val="23"/>
          <w:lang w:val="pt-BR"/>
        </w:rPr>
      </w:pPr>
      <w:r w:rsidRPr="00E81EF9">
        <w:rPr>
          <w:sz w:val="23"/>
          <w:szCs w:val="23"/>
          <w:lang w:val="pt-BR"/>
        </w:rPr>
        <w:t>Incorporar nosso compromisso de neutralidade de carbono à estratégia de Responsabilidade Social Corporativa (CSR) da organização;</w:t>
      </w:r>
    </w:p>
    <w:p w14:paraId="2DF1A0C4" w14:textId="7F50DD30" w:rsidR="00C578B7" w:rsidRDefault="00C578B7" w:rsidP="00C578B7">
      <w:pPr>
        <w:pStyle w:val="ListParagraph"/>
        <w:numPr>
          <w:ilvl w:val="0"/>
          <w:numId w:val="4"/>
        </w:numPr>
        <w:spacing w:before="120"/>
        <w:ind w:left="567" w:right="102" w:hanging="357"/>
        <w:jc w:val="both"/>
        <w:rPr>
          <w:sz w:val="23"/>
          <w:szCs w:val="23"/>
          <w:lang w:val="pt-BR"/>
        </w:rPr>
      </w:pPr>
      <w:r w:rsidRPr="00C578B7">
        <w:rPr>
          <w:sz w:val="23"/>
          <w:szCs w:val="23"/>
          <w:lang w:val="pt-BR"/>
        </w:rPr>
        <w:t>Alinhar-se com o Quadro da Convenção das Nações Unidas sobre as Alterações Climáticas (</w:t>
      </w:r>
      <w:r w:rsidRPr="00FC1659">
        <w:rPr>
          <w:sz w:val="24"/>
          <w:szCs w:val="22"/>
          <w:lang w:val="pt-BR"/>
        </w:rPr>
        <w:t>UNFCCC</w:t>
      </w:r>
      <w:r w:rsidRPr="00C578B7">
        <w:rPr>
          <w:sz w:val="23"/>
          <w:szCs w:val="23"/>
          <w:lang w:val="pt-BR"/>
        </w:rPr>
        <w:t>) COP21, também conhecido como Acordo de Paris sobre as Alterações Climáticas;</w:t>
      </w:r>
    </w:p>
    <w:p w14:paraId="60946887" w14:textId="50FCB818" w:rsidR="00D65295" w:rsidRPr="00E81EF9" w:rsidRDefault="007C552F" w:rsidP="00C578B7">
      <w:pPr>
        <w:pStyle w:val="ListParagraph"/>
        <w:numPr>
          <w:ilvl w:val="0"/>
          <w:numId w:val="4"/>
        </w:numPr>
        <w:spacing w:before="120"/>
        <w:ind w:left="567" w:right="102" w:hanging="357"/>
        <w:jc w:val="both"/>
        <w:rPr>
          <w:sz w:val="23"/>
          <w:szCs w:val="23"/>
          <w:lang w:val="pt-BR"/>
        </w:rPr>
      </w:pPr>
      <w:r>
        <w:rPr>
          <w:sz w:val="23"/>
          <w:szCs w:val="23"/>
          <w:lang w:val="pt-BR"/>
        </w:rPr>
        <w:t>Concordar que as condições-</w:t>
      </w:r>
      <w:r w:rsidR="00D65295" w:rsidRPr="00E81EF9">
        <w:rPr>
          <w:sz w:val="23"/>
          <w:szCs w:val="23"/>
          <w:lang w:val="pt-BR"/>
        </w:rPr>
        <w:t>limite de neutralidade de carbono sejam as emissões de Escopo 1 e Escopo 2, conforme definido pelo Protocolo de Gases de Efeito Estufa;</w:t>
      </w:r>
    </w:p>
    <w:p w14:paraId="387AE234" w14:textId="39160F96" w:rsidR="00D65295" w:rsidRPr="00E81EF9" w:rsidRDefault="00D65295" w:rsidP="006B7130">
      <w:pPr>
        <w:pStyle w:val="ListParagraph"/>
        <w:numPr>
          <w:ilvl w:val="0"/>
          <w:numId w:val="4"/>
        </w:numPr>
        <w:spacing w:before="120"/>
        <w:ind w:left="567" w:right="102" w:hanging="357"/>
        <w:jc w:val="both"/>
        <w:rPr>
          <w:sz w:val="23"/>
          <w:szCs w:val="23"/>
          <w:lang w:val="pt-BR"/>
        </w:rPr>
      </w:pPr>
      <w:r w:rsidRPr="00E81EF9">
        <w:rPr>
          <w:sz w:val="23"/>
          <w:szCs w:val="23"/>
          <w:lang w:val="pt-BR"/>
        </w:rPr>
        <w:t>Engajar e comprometer a alta</w:t>
      </w:r>
      <w:r w:rsidR="00481F88">
        <w:rPr>
          <w:sz w:val="23"/>
          <w:szCs w:val="23"/>
          <w:lang w:val="pt-BR"/>
        </w:rPr>
        <w:t xml:space="preserve"> </w:t>
      </w:r>
      <w:r w:rsidR="00491052">
        <w:rPr>
          <w:sz w:val="23"/>
          <w:szCs w:val="23"/>
          <w:lang w:val="pt-BR"/>
        </w:rPr>
        <w:t xml:space="preserve">liderança </w:t>
      </w:r>
      <w:r w:rsidR="00481F88">
        <w:rPr>
          <w:sz w:val="23"/>
          <w:szCs w:val="23"/>
          <w:lang w:val="pt-BR"/>
        </w:rPr>
        <w:t>com a implementação dessa</w:t>
      </w:r>
      <w:r w:rsidRPr="00E81EF9">
        <w:rPr>
          <w:sz w:val="23"/>
          <w:szCs w:val="23"/>
          <w:lang w:val="pt-BR"/>
        </w:rPr>
        <w:t xml:space="preserve"> visão;</w:t>
      </w:r>
    </w:p>
    <w:p w14:paraId="5D44B297" w14:textId="77777777" w:rsidR="00D65295" w:rsidRPr="00E81EF9" w:rsidRDefault="00D65295" w:rsidP="006B7130">
      <w:pPr>
        <w:pStyle w:val="ListParagraph"/>
        <w:numPr>
          <w:ilvl w:val="0"/>
          <w:numId w:val="4"/>
        </w:numPr>
        <w:spacing w:before="120"/>
        <w:ind w:left="567" w:right="102" w:hanging="357"/>
        <w:jc w:val="both"/>
        <w:rPr>
          <w:sz w:val="23"/>
          <w:szCs w:val="23"/>
          <w:lang w:val="pt-BR"/>
        </w:rPr>
      </w:pPr>
      <w:r w:rsidRPr="00E81EF9">
        <w:rPr>
          <w:sz w:val="23"/>
          <w:szCs w:val="23"/>
          <w:lang w:val="pt-BR"/>
        </w:rPr>
        <w:t>Comprometer-se com o desenvolvimento de uma estratégia de energia com um roteiro para atingir objetivos e metas de energia;</w:t>
      </w:r>
    </w:p>
    <w:p w14:paraId="2F84328F" w14:textId="77777777" w:rsidR="00D65295" w:rsidRPr="00E81EF9" w:rsidRDefault="00D65295" w:rsidP="006B7130">
      <w:pPr>
        <w:pStyle w:val="ListParagraph"/>
        <w:numPr>
          <w:ilvl w:val="0"/>
          <w:numId w:val="4"/>
        </w:numPr>
        <w:spacing w:before="120"/>
        <w:ind w:left="567" w:right="102" w:hanging="357"/>
        <w:jc w:val="both"/>
        <w:rPr>
          <w:sz w:val="23"/>
          <w:szCs w:val="23"/>
          <w:lang w:val="pt-BR"/>
        </w:rPr>
      </w:pPr>
      <w:r w:rsidRPr="00E81EF9">
        <w:rPr>
          <w:sz w:val="23"/>
          <w:szCs w:val="23"/>
          <w:lang w:val="pt-BR"/>
        </w:rPr>
        <w:t>Estabelecer como prioridade a melhoria contínua do desempenho energético e do sistema de gerenciamento de energia e alinhar as instalações individuais a essa prioridade;</w:t>
      </w:r>
    </w:p>
    <w:p w14:paraId="3A931532" w14:textId="6DBD1A9F" w:rsidR="00C578B7" w:rsidRPr="00E81EF9" w:rsidRDefault="00C578B7" w:rsidP="00C578B7">
      <w:pPr>
        <w:pStyle w:val="ListParagraph"/>
        <w:numPr>
          <w:ilvl w:val="0"/>
          <w:numId w:val="4"/>
        </w:numPr>
        <w:spacing w:before="120"/>
        <w:ind w:left="567" w:right="102" w:hanging="357"/>
        <w:jc w:val="both"/>
        <w:rPr>
          <w:sz w:val="23"/>
          <w:szCs w:val="23"/>
          <w:lang w:val="pt-BR"/>
        </w:rPr>
      </w:pPr>
      <w:r w:rsidRPr="00C578B7">
        <w:rPr>
          <w:sz w:val="23"/>
          <w:szCs w:val="23"/>
          <w:lang w:val="pt-BR"/>
        </w:rPr>
        <w:t xml:space="preserve">Apoiar a aquisição de produtos e serviços </w:t>
      </w:r>
      <w:r w:rsidRPr="00E81EF9">
        <w:rPr>
          <w:sz w:val="23"/>
          <w:szCs w:val="23"/>
          <w:lang w:val="pt-BR"/>
        </w:rPr>
        <w:t xml:space="preserve">com eficiência energética </w:t>
      </w:r>
      <w:r w:rsidRPr="00C578B7">
        <w:rPr>
          <w:sz w:val="23"/>
          <w:szCs w:val="23"/>
          <w:lang w:val="pt-BR"/>
        </w:rPr>
        <w:t>e com baixas emissões de carbono que tenham impacto no desempenho energético, bem como a concepção de projetos destinados a melhorar o desempenho energético;</w:t>
      </w:r>
    </w:p>
    <w:p w14:paraId="3F5D4C68" w14:textId="77777777" w:rsidR="00D65295" w:rsidRPr="00E81EF9" w:rsidRDefault="00D65295" w:rsidP="006B7130">
      <w:pPr>
        <w:pStyle w:val="ListParagraph"/>
        <w:numPr>
          <w:ilvl w:val="0"/>
          <w:numId w:val="4"/>
        </w:numPr>
        <w:spacing w:before="120"/>
        <w:ind w:left="567" w:right="102" w:hanging="357"/>
        <w:jc w:val="both"/>
        <w:rPr>
          <w:sz w:val="23"/>
          <w:szCs w:val="23"/>
          <w:lang w:val="pt-BR"/>
        </w:rPr>
      </w:pPr>
      <w:r w:rsidRPr="00E81EF9">
        <w:rPr>
          <w:sz w:val="23"/>
          <w:szCs w:val="23"/>
          <w:lang w:val="pt-BR"/>
        </w:rPr>
        <w:t>Garantir a conformidade contínua com todos os requisitos legais e outros relacionados à eficiência, ao uso e ao consumo de energia em nossas instalações;</w:t>
      </w:r>
    </w:p>
    <w:p w14:paraId="7948F8BC" w14:textId="77777777" w:rsidR="00D65295" w:rsidRPr="00E81EF9" w:rsidRDefault="00D65295" w:rsidP="006B7130">
      <w:pPr>
        <w:pStyle w:val="ListParagraph"/>
        <w:numPr>
          <w:ilvl w:val="0"/>
          <w:numId w:val="4"/>
        </w:numPr>
        <w:spacing w:before="120"/>
        <w:ind w:left="567" w:right="102" w:hanging="357"/>
        <w:jc w:val="both"/>
        <w:rPr>
          <w:sz w:val="23"/>
          <w:szCs w:val="23"/>
          <w:lang w:val="pt-BR"/>
        </w:rPr>
      </w:pPr>
      <w:r w:rsidRPr="00E81EF9">
        <w:rPr>
          <w:sz w:val="23"/>
          <w:szCs w:val="23"/>
          <w:lang w:val="pt-BR"/>
        </w:rPr>
        <w:t>Fornecer as informações e os recursos necessários para alcançar a melhoria do desempenho energético e a neutralidade de carbono.</w:t>
      </w:r>
    </w:p>
    <w:p w14:paraId="7F7B4505" w14:textId="77777777" w:rsidR="00D65295" w:rsidRPr="00E81EF9" w:rsidRDefault="00D65295" w:rsidP="00E81EF9">
      <w:pPr>
        <w:ind w:right="103"/>
        <w:jc w:val="both"/>
        <w:rPr>
          <w:sz w:val="23"/>
          <w:szCs w:val="23"/>
          <w:lang w:val="pt-BR"/>
        </w:rPr>
      </w:pPr>
    </w:p>
    <w:p w14:paraId="3713D36B" w14:textId="2F6D6C0F" w:rsidR="00D65295" w:rsidRPr="00E81EF9" w:rsidRDefault="00D65295" w:rsidP="00E81EF9">
      <w:pPr>
        <w:ind w:right="103"/>
        <w:jc w:val="both"/>
        <w:rPr>
          <w:sz w:val="23"/>
          <w:szCs w:val="23"/>
          <w:lang w:val="pt-BR"/>
        </w:rPr>
      </w:pPr>
      <w:r w:rsidRPr="00E81EF9">
        <w:rPr>
          <w:sz w:val="23"/>
          <w:szCs w:val="23"/>
          <w:lang w:val="pt-BR"/>
        </w:rPr>
        <w:t xml:space="preserve">Esta política será revisada anualmente e atualizada conforme necessário para garantir o alinhamento com a estratégia de CSR. Ela estará disponível no site da Boston </w:t>
      </w:r>
      <w:proofErr w:type="spellStart"/>
      <w:r w:rsidRPr="00E81EF9">
        <w:rPr>
          <w:sz w:val="23"/>
          <w:szCs w:val="23"/>
          <w:lang w:val="pt-BR"/>
        </w:rPr>
        <w:t>Scientific</w:t>
      </w:r>
      <w:proofErr w:type="spellEnd"/>
      <w:r w:rsidRPr="00E81EF9">
        <w:rPr>
          <w:sz w:val="23"/>
          <w:szCs w:val="23"/>
          <w:lang w:val="pt-BR"/>
        </w:rPr>
        <w:t xml:space="preserve"> Corporation </w:t>
      </w:r>
      <w:r w:rsidR="00250381" w:rsidRPr="00FC1659">
        <w:rPr>
          <w:sz w:val="24"/>
          <w:szCs w:val="22"/>
          <w:lang w:val="pt-BR"/>
        </w:rPr>
        <w:t>(</w:t>
      </w:r>
      <w:hyperlink r:id="rId9" w:history="1">
        <w:r w:rsidR="00250381" w:rsidRPr="00FC1659">
          <w:rPr>
            <w:rStyle w:val="Hyperlink"/>
            <w:sz w:val="24"/>
            <w:szCs w:val="22"/>
            <w:lang w:val="pt-BR"/>
          </w:rPr>
          <w:t>www.bostonscientific.com</w:t>
        </w:r>
      </w:hyperlink>
      <w:r w:rsidR="00250381" w:rsidRPr="00FC1659">
        <w:rPr>
          <w:sz w:val="24"/>
          <w:szCs w:val="22"/>
          <w:lang w:val="pt-BR"/>
        </w:rPr>
        <w:t xml:space="preserve">) </w:t>
      </w:r>
      <w:r w:rsidRPr="00E81EF9">
        <w:rPr>
          <w:sz w:val="23"/>
          <w:szCs w:val="23"/>
          <w:lang w:val="pt-BR"/>
        </w:rPr>
        <w:t>e será comunicada dentro da organização e às partes interessadas relevantes.</w:t>
      </w:r>
    </w:p>
    <w:p w14:paraId="17AFD7FD" w14:textId="254C5927" w:rsidR="00E55C12" w:rsidRPr="004C1E09" w:rsidRDefault="00E55C12" w:rsidP="00D65295">
      <w:pPr>
        <w:rPr>
          <w:lang w:val="pt-BR"/>
        </w:rPr>
      </w:pPr>
    </w:p>
    <w:sectPr w:rsidR="00E55C12" w:rsidRPr="004C1E09" w:rsidSect="007D085E">
      <w:footerReference w:type="default" r:id="rId10"/>
      <w:pgSz w:w="12240" w:h="15840"/>
      <w:pgMar w:top="1440" w:right="1467" w:bottom="1440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07B639" w14:textId="77777777" w:rsidR="00731B4A" w:rsidRDefault="00731B4A" w:rsidP="00E952B0">
      <w:r>
        <w:separator/>
      </w:r>
    </w:p>
  </w:endnote>
  <w:endnote w:type="continuationSeparator" w:id="0">
    <w:p w14:paraId="39AF6C18" w14:textId="77777777" w:rsidR="00731B4A" w:rsidRDefault="00731B4A" w:rsidP="00E95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0EFC0D" w14:textId="273D7207" w:rsidR="00E952B0" w:rsidRPr="00EC60E6" w:rsidRDefault="00FC1659" w:rsidP="00E952B0">
    <w:pPr>
      <w:pStyle w:val="Footer"/>
      <w:jc w:val="right"/>
    </w:pPr>
    <w:r w:rsidRPr="00FC1659">
      <w:drawing>
        <wp:inline distT="0" distB="0" distL="0" distR="0" wp14:anchorId="7B4C4A89" wp14:editId="6637BDEC">
          <wp:extent cx="5760720" cy="288925"/>
          <wp:effectExtent l="0" t="0" r="0" b="0"/>
          <wp:docPr id="83039080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039080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288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F2222B" w14:textId="77777777" w:rsidR="00731B4A" w:rsidRDefault="00731B4A" w:rsidP="00E952B0">
      <w:r>
        <w:separator/>
      </w:r>
    </w:p>
  </w:footnote>
  <w:footnote w:type="continuationSeparator" w:id="0">
    <w:p w14:paraId="23E47ACC" w14:textId="77777777" w:rsidR="00731B4A" w:rsidRDefault="00731B4A" w:rsidP="00E952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E52D3B"/>
    <w:multiLevelType w:val="hybridMultilevel"/>
    <w:tmpl w:val="433E070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EBC4D0E"/>
    <w:multiLevelType w:val="multilevel"/>
    <w:tmpl w:val="433E070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6973533"/>
    <w:multiLevelType w:val="multilevel"/>
    <w:tmpl w:val="F89AB8D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DEF66C3"/>
    <w:multiLevelType w:val="hybridMultilevel"/>
    <w:tmpl w:val="34E2324E"/>
    <w:lvl w:ilvl="0" w:tplc="1809000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6633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7353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8073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8793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9513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10233" w:hanging="360"/>
      </w:pPr>
      <w:rPr>
        <w:rFonts w:ascii="Wingdings" w:hAnsi="Wingdings" w:hint="default"/>
      </w:rPr>
    </w:lvl>
  </w:abstractNum>
  <w:num w:numId="1" w16cid:durableId="1821573652">
    <w:abstractNumId w:val="0"/>
  </w:num>
  <w:num w:numId="2" w16cid:durableId="179514044">
    <w:abstractNumId w:val="2"/>
  </w:num>
  <w:num w:numId="3" w16cid:durableId="690766780">
    <w:abstractNumId w:val="1"/>
  </w:num>
  <w:num w:numId="4" w16cid:durableId="14908281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E54"/>
    <w:rsid w:val="000353D3"/>
    <w:rsid w:val="0005715A"/>
    <w:rsid w:val="0005729D"/>
    <w:rsid w:val="00063918"/>
    <w:rsid w:val="00080A2B"/>
    <w:rsid w:val="0008571C"/>
    <w:rsid w:val="00095284"/>
    <w:rsid w:val="000F021C"/>
    <w:rsid w:val="000F2A95"/>
    <w:rsid w:val="000F49E9"/>
    <w:rsid w:val="000F7CEB"/>
    <w:rsid w:val="001039AA"/>
    <w:rsid w:val="00103ECB"/>
    <w:rsid w:val="00181236"/>
    <w:rsid w:val="001C4465"/>
    <w:rsid w:val="001E3968"/>
    <w:rsid w:val="001E6B42"/>
    <w:rsid w:val="001F2AD5"/>
    <w:rsid w:val="00210E45"/>
    <w:rsid w:val="00250381"/>
    <w:rsid w:val="002C0653"/>
    <w:rsid w:val="002C44CC"/>
    <w:rsid w:val="002E4144"/>
    <w:rsid w:val="00313B2C"/>
    <w:rsid w:val="003361CF"/>
    <w:rsid w:val="0033708C"/>
    <w:rsid w:val="003564E5"/>
    <w:rsid w:val="0038440B"/>
    <w:rsid w:val="00392B85"/>
    <w:rsid w:val="003A30D9"/>
    <w:rsid w:val="003C590C"/>
    <w:rsid w:val="003D15A0"/>
    <w:rsid w:val="004025AB"/>
    <w:rsid w:val="004607FE"/>
    <w:rsid w:val="00481F88"/>
    <w:rsid w:val="004847A0"/>
    <w:rsid w:val="00490C87"/>
    <w:rsid w:val="00491052"/>
    <w:rsid w:val="004C1E09"/>
    <w:rsid w:val="004C7615"/>
    <w:rsid w:val="004C7B3C"/>
    <w:rsid w:val="004E43C6"/>
    <w:rsid w:val="00502E54"/>
    <w:rsid w:val="005119BB"/>
    <w:rsid w:val="005170CE"/>
    <w:rsid w:val="00527DDD"/>
    <w:rsid w:val="005401C2"/>
    <w:rsid w:val="00562B99"/>
    <w:rsid w:val="00566774"/>
    <w:rsid w:val="00585E81"/>
    <w:rsid w:val="00587113"/>
    <w:rsid w:val="00591E96"/>
    <w:rsid w:val="005A5CCB"/>
    <w:rsid w:val="005E0BF0"/>
    <w:rsid w:val="005F35E9"/>
    <w:rsid w:val="00620995"/>
    <w:rsid w:val="00622DBB"/>
    <w:rsid w:val="00624F0E"/>
    <w:rsid w:val="00656AA1"/>
    <w:rsid w:val="0066421C"/>
    <w:rsid w:val="006A0E7B"/>
    <w:rsid w:val="006B7130"/>
    <w:rsid w:val="006C060A"/>
    <w:rsid w:val="006E4671"/>
    <w:rsid w:val="006E4913"/>
    <w:rsid w:val="00703EBF"/>
    <w:rsid w:val="0072245C"/>
    <w:rsid w:val="007227BB"/>
    <w:rsid w:val="00731B4A"/>
    <w:rsid w:val="007B40B9"/>
    <w:rsid w:val="007C099B"/>
    <w:rsid w:val="007C552F"/>
    <w:rsid w:val="007D085E"/>
    <w:rsid w:val="007E11F4"/>
    <w:rsid w:val="007E6594"/>
    <w:rsid w:val="007F26A7"/>
    <w:rsid w:val="0081279A"/>
    <w:rsid w:val="00891BD7"/>
    <w:rsid w:val="00894074"/>
    <w:rsid w:val="008B3843"/>
    <w:rsid w:val="00900679"/>
    <w:rsid w:val="0090154E"/>
    <w:rsid w:val="009048BE"/>
    <w:rsid w:val="00930062"/>
    <w:rsid w:val="00935C95"/>
    <w:rsid w:val="00947DDC"/>
    <w:rsid w:val="009911CC"/>
    <w:rsid w:val="009A036C"/>
    <w:rsid w:val="009A799D"/>
    <w:rsid w:val="009B07E7"/>
    <w:rsid w:val="009B34A3"/>
    <w:rsid w:val="009F62F0"/>
    <w:rsid w:val="009F6FEC"/>
    <w:rsid w:val="00A47177"/>
    <w:rsid w:val="00A81578"/>
    <w:rsid w:val="00AA6EB6"/>
    <w:rsid w:val="00AA705F"/>
    <w:rsid w:val="00AE4005"/>
    <w:rsid w:val="00B06260"/>
    <w:rsid w:val="00B12C3C"/>
    <w:rsid w:val="00B8218B"/>
    <w:rsid w:val="00B82510"/>
    <w:rsid w:val="00BD03E3"/>
    <w:rsid w:val="00C075C9"/>
    <w:rsid w:val="00C24EBA"/>
    <w:rsid w:val="00C445A3"/>
    <w:rsid w:val="00C578B7"/>
    <w:rsid w:val="00C64774"/>
    <w:rsid w:val="00C71C9A"/>
    <w:rsid w:val="00C75967"/>
    <w:rsid w:val="00C8173A"/>
    <w:rsid w:val="00CB7E21"/>
    <w:rsid w:val="00CC366A"/>
    <w:rsid w:val="00CF3E6E"/>
    <w:rsid w:val="00D2229F"/>
    <w:rsid w:val="00D411E6"/>
    <w:rsid w:val="00D624E4"/>
    <w:rsid w:val="00D65295"/>
    <w:rsid w:val="00D7384D"/>
    <w:rsid w:val="00D9021D"/>
    <w:rsid w:val="00DB4770"/>
    <w:rsid w:val="00DB4E4C"/>
    <w:rsid w:val="00E00979"/>
    <w:rsid w:val="00E052FD"/>
    <w:rsid w:val="00E227B9"/>
    <w:rsid w:val="00E51DDC"/>
    <w:rsid w:val="00E55C12"/>
    <w:rsid w:val="00E70AF4"/>
    <w:rsid w:val="00E73D4F"/>
    <w:rsid w:val="00E81EF9"/>
    <w:rsid w:val="00E842C0"/>
    <w:rsid w:val="00E917D7"/>
    <w:rsid w:val="00E952B0"/>
    <w:rsid w:val="00EA4EB6"/>
    <w:rsid w:val="00EC60E6"/>
    <w:rsid w:val="00EC6564"/>
    <w:rsid w:val="00EF2941"/>
    <w:rsid w:val="00F07DC7"/>
    <w:rsid w:val="00F217F0"/>
    <w:rsid w:val="00F22560"/>
    <w:rsid w:val="00F31510"/>
    <w:rsid w:val="00F5131D"/>
    <w:rsid w:val="00F83B20"/>
    <w:rsid w:val="00FB2829"/>
    <w:rsid w:val="00FB3D23"/>
    <w:rsid w:val="00FC1659"/>
    <w:rsid w:val="00FD742C"/>
    <w:rsid w:val="00FF3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4968EF22"/>
  <w15:docId w15:val="{6740EEFD-A85C-4AAC-B998-AFBB7B431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392B8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E952B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952B0"/>
  </w:style>
  <w:style w:type="paragraph" w:styleId="Footer">
    <w:name w:val="footer"/>
    <w:basedOn w:val="Normal"/>
    <w:link w:val="FooterChar"/>
    <w:rsid w:val="00E952B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E952B0"/>
  </w:style>
  <w:style w:type="character" w:styleId="PageNumber">
    <w:name w:val="page number"/>
    <w:unhideWhenUsed/>
    <w:rsid w:val="00E952B0"/>
  </w:style>
  <w:style w:type="character" w:customStyle="1" w:styleId="tgc">
    <w:name w:val="_tgc"/>
    <w:basedOn w:val="DefaultParagraphFont"/>
    <w:rsid w:val="00490C87"/>
  </w:style>
  <w:style w:type="paragraph" w:styleId="ListParagraph">
    <w:name w:val="List Paragraph"/>
    <w:basedOn w:val="Normal"/>
    <w:uiPriority w:val="34"/>
    <w:qFormat/>
    <w:rsid w:val="007F26A7"/>
    <w:pPr>
      <w:ind w:left="720"/>
      <w:contextualSpacing/>
    </w:pPr>
  </w:style>
  <w:style w:type="paragraph" w:styleId="Revision">
    <w:name w:val="Revision"/>
    <w:hidden/>
    <w:uiPriority w:val="99"/>
    <w:semiHidden/>
    <w:rsid w:val="00B12C3C"/>
    <w:rPr>
      <w:lang w:val="en-US" w:eastAsia="en-US"/>
    </w:rPr>
  </w:style>
  <w:style w:type="character" w:styleId="Hyperlink">
    <w:name w:val="Hyperlink"/>
    <w:basedOn w:val="DefaultParagraphFont"/>
    <w:unhideWhenUsed/>
    <w:rsid w:val="00B8218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9178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bostonscientific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250CCF-71A0-4B7A-8762-48976B9B1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368</Words>
  <Characters>1988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Environment, Health &amp; Safety Policy Statement</vt:lpstr>
      <vt:lpstr>Environment, Health &amp; Safety Policy Statement</vt:lpstr>
    </vt:vector>
  </TitlesOfParts>
  <Company>Boston Scientific</Company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Environment, Health &amp; Safety Policy Statement</dc:title>
  <dc:creator>BSC User</dc:creator>
  <cp:lastModifiedBy>SANTANA, LARISSA</cp:lastModifiedBy>
  <cp:revision>3</cp:revision>
  <cp:lastPrinted>2024-09-09T15:21:00Z</cp:lastPrinted>
  <dcterms:created xsi:type="dcterms:W3CDTF">2024-01-11T18:47:00Z</dcterms:created>
  <dcterms:modified xsi:type="dcterms:W3CDTF">2024-09-11T11:58:00Z</dcterms:modified>
</cp:coreProperties>
</file>